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60" w:lineRule="exact"/>
        <w:jc w:val="center"/>
        <w:rPr>
          <w:rFonts w:hint="eastAsia" w:ascii="仿宋_GB2312" w:hAnsi="仿宋_GB2312" w:eastAsia="仿宋_GB2312" w:cs="仿宋_GB2312"/>
          <w:sz w:val="48"/>
          <w:szCs w:val="48"/>
        </w:rPr>
      </w:pPr>
    </w:p>
    <w:p>
      <w:pPr>
        <w:widowControl/>
        <w:spacing w:line="460" w:lineRule="exact"/>
        <w:jc w:val="center"/>
        <w:rPr>
          <w:rFonts w:hint="eastAsia" w:ascii="仿宋_GB2312" w:hAnsi="仿宋_GB2312" w:eastAsia="仿宋_GB2312" w:cs="仿宋_GB2312"/>
          <w:sz w:val="48"/>
          <w:szCs w:val="48"/>
        </w:rPr>
      </w:pPr>
    </w:p>
    <w:p>
      <w:pPr>
        <w:tabs>
          <w:tab w:val="left" w:pos="1350"/>
          <w:tab w:val="center" w:pos="4156"/>
        </w:tabs>
        <w:spacing w:line="760" w:lineRule="exac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四川成渝高速公路股份有限公司公路运营管理一分公司</w:t>
      </w:r>
      <w:r>
        <w:rPr>
          <w:rFonts w:hint="eastAsia" w:ascii="方正小标宋简体" w:hAnsi="方正小标宋简体" w:eastAsia="方正小标宋简体" w:cs="方正小标宋简体"/>
          <w:b w:val="0"/>
          <w:bCs w:val="0"/>
          <w:sz w:val="36"/>
          <w:szCs w:val="36"/>
          <w:lang w:eastAsia="zh-CN"/>
        </w:rPr>
        <w:t>双重预防机制建设和安全生产标准化二级达标创建技术服务项目</w:t>
      </w:r>
    </w:p>
    <w:p>
      <w:pPr>
        <w:widowControl/>
        <w:spacing w:line="760" w:lineRule="exact"/>
        <w:jc w:val="center"/>
        <w:rPr>
          <w:rFonts w:hint="eastAsia" w:ascii="方正小标宋简体" w:hAnsi="方正小标宋简体" w:eastAsia="方正小标宋简体" w:cs="方正小标宋简体"/>
          <w:b/>
          <w:bCs/>
          <w:sz w:val="48"/>
          <w:szCs w:val="48"/>
        </w:rPr>
      </w:pPr>
    </w:p>
    <w:p>
      <w:pPr>
        <w:widowControl/>
        <w:spacing w:line="760" w:lineRule="exact"/>
        <w:jc w:val="center"/>
        <w:rPr>
          <w:rFonts w:hint="eastAsia" w:ascii="方正小标宋简体" w:hAnsi="方正小标宋简体" w:eastAsia="方正小标宋简体" w:cs="方正小标宋简体"/>
          <w:b/>
          <w:bCs/>
          <w:sz w:val="48"/>
          <w:szCs w:val="48"/>
        </w:rPr>
      </w:pPr>
    </w:p>
    <w:p>
      <w:pPr>
        <w:widowControl/>
        <w:spacing w:line="760" w:lineRule="exact"/>
        <w:jc w:val="center"/>
        <w:rPr>
          <w:rFonts w:hint="eastAsia" w:ascii="方正小标宋简体" w:hAnsi="方正小标宋简体" w:eastAsia="方正小标宋简体" w:cs="方正小标宋简体"/>
          <w:b/>
          <w:bCs/>
          <w:sz w:val="48"/>
          <w:szCs w:val="48"/>
        </w:rPr>
      </w:pPr>
    </w:p>
    <w:p>
      <w:pPr>
        <w:widowControl/>
        <w:spacing w:line="760" w:lineRule="exact"/>
        <w:jc w:val="center"/>
        <w:rPr>
          <w:rFonts w:hint="eastAsia" w:ascii="方正小标宋简体" w:hAnsi="方正小标宋简体" w:eastAsia="方正小标宋简体" w:cs="方正小标宋简体"/>
          <w:b/>
          <w:bCs/>
          <w:sz w:val="44"/>
          <w:szCs w:val="36"/>
        </w:rPr>
      </w:pPr>
    </w:p>
    <w:p>
      <w:pPr>
        <w:widowControl/>
        <w:spacing w:line="760" w:lineRule="exact"/>
        <w:jc w:val="center"/>
        <w:rPr>
          <w:rFonts w:hint="eastAsia" w:ascii="方正小标宋简体" w:hAnsi="方正小标宋简体" w:eastAsia="方正小标宋简体" w:cs="方正小标宋简体"/>
          <w:b/>
          <w:bCs/>
          <w:sz w:val="72"/>
          <w:szCs w:val="72"/>
        </w:rPr>
      </w:pPr>
      <w:r>
        <w:rPr>
          <w:rFonts w:hint="eastAsia" w:ascii="方正小标宋简体" w:hAnsi="方正小标宋简体" w:eastAsia="方正小标宋简体" w:cs="方正小标宋简体"/>
          <w:b/>
          <w:bCs/>
          <w:sz w:val="72"/>
          <w:szCs w:val="72"/>
        </w:rPr>
        <w:t>比 选 文 件</w:t>
      </w:r>
    </w:p>
    <w:p>
      <w:pPr>
        <w:widowControl/>
        <w:spacing w:line="760" w:lineRule="exact"/>
        <w:jc w:val="center"/>
        <w:rPr>
          <w:rFonts w:hint="eastAsia" w:ascii="方正小标宋简体" w:hAnsi="方正小标宋简体" w:eastAsia="方正小标宋简体" w:cs="方正小标宋简体"/>
          <w:b/>
          <w:bCs/>
          <w:sz w:val="48"/>
          <w:szCs w:val="36"/>
        </w:rPr>
      </w:pPr>
    </w:p>
    <w:p>
      <w:pPr>
        <w:widowControl/>
        <w:spacing w:line="760" w:lineRule="exact"/>
        <w:rPr>
          <w:rFonts w:hint="eastAsia" w:ascii="方正小标宋简体" w:hAnsi="方正小标宋简体" w:eastAsia="方正小标宋简体" w:cs="方正小标宋简体"/>
          <w:b/>
          <w:bCs/>
          <w:sz w:val="48"/>
          <w:szCs w:val="36"/>
        </w:rPr>
      </w:pPr>
    </w:p>
    <w:p>
      <w:pPr>
        <w:widowControl/>
        <w:spacing w:line="760" w:lineRule="exact"/>
        <w:jc w:val="center"/>
        <w:rPr>
          <w:rFonts w:hint="eastAsia" w:ascii="方正小标宋简体" w:hAnsi="方正小标宋简体" w:eastAsia="方正小标宋简体" w:cs="方正小标宋简体"/>
          <w:b/>
          <w:bCs/>
          <w:sz w:val="48"/>
          <w:szCs w:val="36"/>
        </w:rPr>
      </w:pPr>
    </w:p>
    <w:p>
      <w:pPr>
        <w:widowControl/>
        <w:spacing w:line="760" w:lineRule="exact"/>
        <w:jc w:val="center"/>
        <w:rPr>
          <w:rFonts w:hint="eastAsia" w:ascii="方正小标宋简体" w:hAnsi="方正小标宋简体" w:eastAsia="方正小标宋简体" w:cs="方正小标宋简体"/>
          <w:b/>
          <w:bCs/>
          <w:sz w:val="48"/>
          <w:szCs w:val="36"/>
        </w:rPr>
      </w:pPr>
    </w:p>
    <w:p>
      <w:pPr>
        <w:widowControl/>
        <w:spacing w:line="760" w:lineRule="exact"/>
        <w:jc w:val="center"/>
        <w:rPr>
          <w:rFonts w:hint="eastAsia" w:ascii="方正小标宋简体" w:hAnsi="方正小标宋简体" w:eastAsia="方正小标宋简体" w:cs="方正小标宋简体"/>
          <w:b/>
          <w:bCs/>
          <w:sz w:val="48"/>
          <w:szCs w:val="36"/>
        </w:rPr>
      </w:pPr>
    </w:p>
    <w:p>
      <w:pPr>
        <w:widowControl/>
        <w:spacing w:line="760" w:lineRule="exact"/>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比选人：四川成渝高速公路股份有限公司公路运营管理一分公司</w:t>
      </w:r>
    </w:p>
    <w:p>
      <w:pPr>
        <w:widowControl/>
        <w:spacing w:line="760" w:lineRule="exact"/>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202</w:t>
      </w:r>
      <w:r>
        <w:rPr>
          <w:rFonts w:ascii="方正小标宋简体" w:hAnsi="方正小标宋简体" w:eastAsia="方正小标宋简体" w:cs="方正小标宋简体"/>
          <w:b w:val="0"/>
          <w:bCs w:val="0"/>
          <w:sz w:val="32"/>
          <w:szCs w:val="32"/>
        </w:rPr>
        <w:t>5</w:t>
      </w:r>
      <w:r>
        <w:rPr>
          <w:rFonts w:hint="eastAsia" w:ascii="方正小标宋简体" w:hAnsi="方正小标宋简体" w:eastAsia="方正小标宋简体" w:cs="方正小标宋简体"/>
          <w:b w:val="0"/>
          <w:bCs w:val="0"/>
          <w:sz w:val="32"/>
          <w:szCs w:val="32"/>
        </w:rPr>
        <w:t>年</w:t>
      </w:r>
      <w:r>
        <w:rPr>
          <w:rFonts w:hint="eastAsia" w:ascii="方正小标宋简体" w:hAnsi="方正小标宋简体" w:eastAsia="方正小标宋简体" w:cs="方正小标宋简体"/>
          <w:b w:val="0"/>
          <w:bCs w:val="0"/>
          <w:sz w:val="32"/>
          <w:szCs w:val="32"/>
          <w:lang w:val="en-US" w:eastAsia="zh-CN"/>
        </w:rPr>
        <w:t>10</w:t>
      </w:r>
      <w:r>
        <w:rPr>
          <w:rFonts w:hint="eastAsia" w:ascii="方正小标宋简体" w:hAnsi="方正小标宋简体" w:eastAsia="方正小标宋简体" w:cs="方正小标宋简体"/>
          <w:b w:val="0"/>
          <w:bCs w:val="0"/>
          <w:sz w:val="32"/>
          <w:szCs w:val="32"/>
        </w:rPr>
        <w:t>月</w:t>
      </w:r>
    </w:p>
    <w:p/>
    <w:p>
      <w:pPr>
        <w:pStyle w:val="28"/>
        <w:tabs>
          <w:tab w:val="right" w:leader="dot" w:pos="8963"/>
        </w:tabs>
        <w:spacing w:line="600" w:lineRule="exact"/>
        <w:jc w:val="center"/>
        <w:rPr>
          <w:rFonts w:hint="eastAsia" w:ascii="仿宋_GB2312" w:hAnsi="仿宋_GB2312" w:eastAsia="仿宋_GB2312" w:cs="仿宋_GB2312"/>
          <w:sz w:val="32"/>
          <w:szCs w:val="32"/>
        </w:rPr>
      </w:pPr>
      <w:bookmarkStart w:id="0" w:name="_Toc14967"/>
      <w:bookmarkStart w:id="1" w:name="_Toc11074"/>
      <w:bookmarkStart w:id="2" w:name="_Toc22153"/>
      <w:bookmarkStart w:id="3" w:name="_Toc27626"/>
      <w:bookmarkStart w:id="4" w:name="_Toc17160"/>
      <w:bookmarkStart w:id="5" w:name="_Toc1486"/>
      <w:bookmarkStart w:id="6" w:name="_Toc7068"/>
      <w:bookmarkStart w:id="7" w:name="_Toc23748"/>
      <w:bookmarkStart w:id="8" w:name="_Toc1372"/>
    </w:p>
    <w:p>
      <w:pPr>
        <w:pStyle w:val="28"/>
        <w:tabs>
          <w:tab w:val="right" w:leader="dot" w:pos="8963"/>
        </w:tabs>
        <w:spacing w:line="600" w:lineRule="exact"/>
        <w:jc w:val="center"/>
        <w:rPr>
          <w:rFonts w:hint="eastAsia" w:ascii="仿宋_GB2312" w:hAnsi="仿宋_GB2312" w:eastAsia="仿宋_GB2312" w:cs="仿宋_GB2312"/>
          <w:sz w:val="32"/>
          <w:szCs w:val="32"/>
        </w:rPr>
      </w:pPr>
    </w:p>
    <w:p>
      <w:pPr>
        <w:rPr>
          <w:rFonts w:hint="eastAsia" w:ascii="仿宋_GB2312" w:hAnsi="仿宋_GB2312" w:eastAsia="仿宋_GB2312" w:cs="仿宋_GB2312"/>
          <w:b/>
          <w:bCs/>
          <w:sz w:val="40"/>
          <w:szCs w:val="40"/>
        </w:rPr>
      </w:pPr>
      <w:r>
        <w:rPr>
          <w:rFonts w:hint="eastAsia" w:ascii="仿宋_GB2312" w:hAnsi="仿宋_GB2312" w:eastAsia="仿宋_GB2312" w:cs="仿宋_GB2312"/>
          <w:b/>
          <w:bCs/>
          <w:sz w:val="40"/>
          <w:szCs w:val="40"/>
        </w:rPr>
        <w:br w:type="page"/>
      </w:r>
    </w:p>
    <w:p>
      <w:pPr>
        <w:pStyle w:val="28"/>
        <w:tabs>
          <w:tab w:val="right" w:leader="dot" w:pos="8963"/>
        </w:tabs>
        <w:spacing w:line="600" w:lineRule="exact"/>
        <w:jc w:val="center"/>
        <w:rPr>
          <w:rFonts w:hint="eastAsia" w:ascii="仿宋_GB2312" w:hAnsi="仿宋_GB2312" w:eastAsia="仿宋_GB2312" w:cs="仿宋_GB2312"/>
          <w:b/>
          <w:bCs/>
          <w:sz w:val="40"/>
          <w:szCs w:val="40"/>
        </w:rPr>
      </w:pPr>
      <w:r>
        <w:rPr>
          <w:rFonts w:hint="eastAsia" w:ascii="仿宋_GB2312" w:hAnsi="仿宋_GB2312" w:eastAsia="仿宋_GB2312" w:cs="仿宋_GB2312"/>
          <w:b/>
          <w:bCs/>
          <w:sz w:val="40"/>
          <w:szCs w:val="40"/>
        </w:rPr>
        <w:t>目 录</w:t>
      </w:r>
    </w:p>
    <w:p>
      <w:pPr>
        <w:pStyle w:val="28"/>
        <w:tabs>
          <w:tab w:val="right" w:leader="dot" w:pos="8963"/>
        </w:tabs>
        <w:spacing w:line="600" w:lineRule="exact"/>
        <w:rPr>
          <w:rFonts w:hint="eastAsia" w:ascii="仿宋_GB2312" w:hAnsi="仿宋_GB2312" w:eastAsia="仿宋_GB2312" w:cs="仿宋_GB2312"/>
          <w:sz w:val="28"/>
          <w:szCs w:val="28"/>
        </w:rPr>
      </w:pPr>
    </w:p>
    <w:p>
      <w:pPr>
        <w:pStyle w:val="24"/>
        <w:tabs>
          <w:tab w:val="right" w:leader="dot" w:pos="8963"/>
        </w:tabs>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TOC \o "1-3" \t "" \h \z \u </w:instrText>
      </w:r>
      <w:r>
        <w:rPr>
          <w:rFonts w:hint="eastAsia" w:ascii="仿宋_GB2312" w:hAnsi="仿宋_GB2312" w:eastAsia="仿宋_GB2312" w:cs="仿宋_GB2312"/>
          <w:b/>
          <w:bCs/>
          <w:sz w:val="32"/>
          <w:szCs w:val="32"/>
        </w:rPr>
        <w:fldChar w:fldCharType="separate"/>
      </w:r>
      <w:r>
        <w:fldChar w:fldCharType="begin"/>
      </w:r>
      <w:r>
        <w:instrText xml:space="preserve"> HYPERLINK \l "_Toc3736" </w:instrText>
      </w:r>
      <w:r>
        <w:fldChar w:fldCharType="separate"/>
      </w:r>
      <w:r>
        <w:rPr>
          <w:rFonts w:hint="eastAsia" w:ascii="仿宋_GB2312" w:hAnsi="仿宋_GB2312" w:eastAsia="仿宋_GB2312" w:cs="仿宋_GB2312"/>
          <w:b/>
          <w:bCs/>
          <w:sz w:val="32"/>
          <w:szCs w:val="32"/>
        </w:rPr>
        <w:t>第一篇  比选公告</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_Toc3736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pPr>
        <w:pStyle w:val="24"/>
        <w:tabs>
          <w:tab w:val="right" w:leader="dot" w:pos="8963"/>
        </w:tabs>
        <w:spacing w:line="360" w:lineRule="auto"/>
        <w:rPr>
          <w:rFonts w:hint="eastAsia" w:ascii="仿宋_GB2312" w:hAnsi="仿宋_GB2312" w:eastAsia="仿宋_GB2312" w:cs="仿宋_GB2312"/>
          <w:b/>
          <w:bCs/>
          <w:sz w:val="32"/>
          <w:szCs w:val="32"/>
        </w:rPr>
      </w:pPr>
      <w:r>
        <w:fldChar w:fldCharType="begin"/>
      </w:r>
      <w:r>
        <w:instrText xml:space="preserve"> HYPERLINK \l "_Toc4625" </w:instrText>
      </w:r>
      <w:r>
        <w:fldChar w:fldCharType="separate"/>
      </w:r>
      <w:r>
        <w:rPr>
          <w:rFonts w:hint="eastAsia" w:ascii="仿宋_GB2312" w:hAnsi="仿宋_GB2312" w:eastAsia="仿宋_GB2312" w:cs="仿宋_GB2312"/>
          <w:b/>
          <w:bCs/>
          <w:sz w:val="32"/>
          <w:szCs w:val="32"/>
        </w:rPr>
        <w:t>第二篇  比选申请人须知</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_Toc4625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8</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pPr>
        <w:pStyle w:val="24"/>
        <w:tabs>
          <w:tab w:val="right" w:leader="dot" w:pos="8963"/>
        </w:tabs>
        <w:spacing w:line="360" w:lineRule="auto"/>
        <w:rPr>
          <w:rFonts w:hint="default" w:ascii="仿宋_GB2312" w:hAnsi="仿宋_GB2312" w:eastAsia="仿宋_GB2312" w:cs="仿宋_GB2312"/>
          <w:b/>
          <w:bCs/>
          <w:sz w:val="32"/>
          <w:szCs w:val="32"/>
          <w:lang w:val="en-US" w:eastAsia="zh-CN"/>
        </w:rPr>
      </w:pPr>
      <w:r>
        <w:fldChar w:fldCharType="begin"/>
      </w:r>
      <w:r>
        <w:instrText xml:space="preserve"> HYPERLINK \l "_Toc31916" </w:instrText>
      </w:r>
      <w:r>
        <w:fldChar w:fldCharType="separate"/>
      </w:r>
      <w:r>
        <w:rPr>
          <w:rFonts w:hint="eastAsia" w:ascii="仿宋_GB2312" w:hAnsi="仿宋_GB2312" w:eastAsia="仿宋_GB2312" w:cs="仿宋_GB2312"/>
          <w:b/>
          <w:bCs/>
          <w:sz w:val="32"/>
          <w:szCs w:val="32"/>
        </w:rPr>
        <w:t>第三篇  评审标准及方法</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lang w:val="en-US" w:eastAsia="zh-CN"/>
        </w:rPr>
        <w:t>22</w:t>
      </w:r>
    </w:p>
    <w:p>
      <w:pPr>
        <w:pStyle w:val="24"/>
        <w:tabs>
          <w:tab w:val="right" w:leader="dot" w:pos="8963"/>
        </w:tabs>
        <w:spacing w:line="360" w:lineRule="auto"/>
        <w:rPr>
          <w:rFonts w:hint="default" w:ascii="仿宋_GB2312" w:hAnsi="仿宋_GB2312" w:eastAsia="仿宋_GB2312" w:cs="仿宋_GB2312"/>
          <w:b/>
          <w:bCs/>
          <w:sz w:val="32"/>
          <w:szCs w:val="32"/>
          <w:lang w:val="en-US" w:eastAsia="zh-CN"/>
        </w:rPr>
      </w:pPr>
      <w:r>
        <w:fldChar w:fldCharType="begin"/>
      </w:r>
      <w:r>
        <w:instrText xml:space="preserve"> HYPERLINK \l "_Toc4730" </w:instrText>
      </w:r>
      <w:r>
        <w:fldChar w:fldCharType="separate"/>
      </w:r>
      <w:r>
        <w:rPr>
          <w:rFonts w:hint="eastAsia" w:ascii="仿宋_GB2312" w:hAnsi="仿宋_GB2312" w:eastAsia="仿宋_GB2312" w:cs="仿宋_GB2312"/>
          <w:b/>
          <w:bCs/>
          <w:sz w:val="32"/>
          <w:szCs w:val="32"/>
        </w:rPr>
        <w:t>第四篇  合同条款及格式</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lang w:val="en-US" w:eastAsia="zh-CN"/>
        </w:rPr>
        <w:t>33</w:t>
      </w:r>
    </w:p>
    <w:p>
      <w:pPr>
        <w:pStyle w:val="24"/>
        <w:tabs>
          <w:tab w:val="right" w:leader="dot" w:pos="8963"/>
        </w:tabs>
        <w:spacing w:line="360" w:lineRule="auto"/>
        <w:rPr>
          <w:rFonts w:hint="eastAsia" w:ascii="仿宋_GB2312" w:hAnsi="仿宋_GB2312" w:eastAsia="仿宋_GB2312" w:cs="仿宋_GB2312"/>
          <w:b/>
          <w:bCs/>
          <w:sz w:val="32"/>
          <w:szCs w:val="32"/>
          <w:lang w:val="en-US" w:eastAsia="zh-CN"/>
        </w:rPr>
      </w:pPr>
      <w:r>
        <w:fldChar w:fldCharType="begin"/>
      </w:r>
      <w:r>
        <w:instrText xml:space="preserve"> HYPERLINK \l "_Toc29215" </w:instrText>
      </w:r>
      <w:r>
        <w:fldChar w:fldCharType="separate"/>
      </w:r>
      <w:r>
        <w:rPr>
          <w:rFonts w:hint="eastAsia" w:ascii="仿宋_GB2312" w:hAnsi="仿宋_GB2312" w:eastAsia="仿宋_GB2312" w:cs="仿宋_GB2312"/>
          <w:b/>
          <w:bCs/>
          <w:sz w:val="32"/>
          <w:szCs w:val="32"/>
        </w:rPr>
        <w:t>第五篇  比选申请文件格式</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_Toc29215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lang w:val="en-US" w:eastAsia="zh-CN"/>
        </w:rPr>
        <w:t>6</w:t>
      </w:r>
    </w:p>
    <w:p>
      <w:pPr>
        <w:pStyle w:val="28"/>
        <w:tabs>
          <w:tab w:val="right" w:leader="dot" w:pos="8963"/>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end"/>
      </w:r>
    </w:p>
    <w:p>
      <w:pPr>
        <w:pStyle w:val="28"/>
        <w:tabs>
          <w:tab w:val="right" w:leader="dot" w:pos="8963"/>
        </w:tabs>
        <w:spacing w:line="600" w:lineRule="exact"/>
        <w:rPr>
          <w:rFonts w:hint="eastAsia" w:ascii="仿宋_GB2312" w:hAnsi="仿宋_GB2312" w:eastAsia="仿宋_GB2312" w:cs="仿宋_GB2312"/>
          <w:sz w:val="28"/>
          <w:szCs w:val="28"/>
        </w:rPr>
        <w:sectPr>
          <w:headerReference r:id="rId5" w:type="first"/>
          <w:footerReference r:id="rId8" w:type="first"/>
          <w:headerReference r:id="rId3" w:type="default"/>
          <w:footerReference r:id="rId6" w:type="default"/>
          <w:headerReference r:id="rId4" w:type="even"/>
          <w:footerReference r:id="rId7" w:type="even"/>
          <w:pgSz w:w="11911" w:h="16838"/>
          <w:pgMar w:top="1474" w:right="1474" w:bottom="1474" w:left="1474" w:header="799" w:footer="918" w:gutter="0"/>
          <w:cols w:space="0" w:num="1"/>
        </w:sectPr>
      </w:pPr>
    </w:p>
    <w:p>
      <w:pPr>
        <w:jc w:val="center"/>
        <w:outlineLvl w:val="9"/>
        <w:rPr>
          <w:rFonts w:hint="eastAsia" w:ascii="仿宋" w:hAnsi="仿宋" w:eastAsia="仿宋" w:cs="仿宋"/>
        </w:rPr>
      </w:pPr>
      <w:bookmarkStart w:id="9" w:name="_Toc257187557"/>
      <w:bookmarkStart w:id="10" w:name="_Toc528624771"/>
    </w:p>
    <w:p>
      <w:pPr>
        <w:jc w:val="center"/>
        <w:outlineLvl w:val="9"/>
        <w:rPr>
          <w:rFonts w:hint="eastAsia" w:ascii="仿宋" w:hAnsi="仿宋" w:eastAsia="仿宋" w:cs="仿宋"/>
        </w:rPr>
      </w:pPr>
    </w:p>
    <w:p>
      <w:pPr>
        <w:jc w:val="center"/>
        <w:outlineLvl w:val="9"/>
        <w:rPr>
          <w:rFonts w:hint="eastAsia" w:ascii="仿宋" w:hAnsi="仿宋" w:eastAsia="仿宋" w:cs="仿宋"/>
        </w:rPr>
      </w:pPr>
    </w:p>
    <w:p>
      <w:pPr>
        <w:pStyle w:val="5"/>
        <w:jc w:val="center"/>
        <w:rPr>
          <w:rFonts w:hint="eastAsia" w:ascii="仿宋" w:hAnsi="仿宋" w:eastAsia="仿宋" w:cs="仿宋"/>
        </w:rPr>
      </w:pPr>
      <w:bookmarkStart w:id="11" w:name="_Toc3736"/>
      <w:r>
        <w:rPr>
          <w:rFonts w:hint="eastAsia" w:ascii="仿宋" w:hAnsi="仿宋" w:eastAsia="仿宋" w:cs="仿宋"/>
        </w:rPr>
        <w:t xml:space="preserve">第一篇 </w:t>
      </w:r>
      <w:bookmarkEnd w:id="9"/>
      <w:r>
        <w:rPr>
          <w:rFonts w:hint="eastAsia" w:ascii="仿宋" w:hAnsi="仿宋" w:eastAsia="仿宋" w:cs="仿宋"/>
        </w:rPr>
        <w:t xml:space="preserve"> 比选公告</w:t>
      </w:r>
      <w:bookmarkEnd w:id="10"/>
      <w:bookmarkEnd w:id="11"/>
    </w:p>
    <w:p>
      <w:pPr>
        <w:pStyle w:val="6"/>
        <w:spacing w:before="0" w:after="0" w:line="570" w:lineRule="exact"/>
        <w:jc w:val="center"/>
        <w:rPr>
          <w:sz w:val="36"/>
          <w:szCs w:val="36"/>
        </w:rPr>
        <w:sectPr>
          <w:footerReference r:id="rId9" w:type="default"/>
          <w:pgSz w:w="11911" w:h="16838"/>
          <w:pgMar w:top="1474" w:right="1474" w:bottom="1474" w:left="1474" w:header="799" w:footer="918" w:gutter="0"/>
          <w:pgNumType w:fmt="decimal" w:start="1"/>
          <w:cols w:space="0" w:num="1"/>
        </w:sectPr>
      </w:pPr>
    </w:p>
    <w:p>
      <w:pPr>
        <w:spacing w:line="570" w:lineRule="exact"/>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四川成渝高速公路股份有限公司公路运营管理一分公司双重预防机制</w:t>
      </w:r>
      <w:r>
        <w:rPr>
          <w:rFonts w:hint="eastAsia" w:ascii="仿宋_GB2312" w:hAnsi="仿宋_GB2312" w:eastAsia="仿宋_GB2312" w:cs="仿宋_GB2312"/>
          <w:b/>
          <w:bCs/>
          <w:sz w:val="36"/>
          <w:szCs w:val="36"/>
          <w:lang w:val="en-US" w:eastAsia="zh-CN"/>
        </w:rPr>
        <w:t>建设</w:t>
      </w:r>
      <w:r>
        <w:rPr>
          <w:rFonts w:hint="eastAsia" w:ascii="仿宋_GB2312" w:hAnsi="仿宋_GB2312" w:eastAsia="仿宋_GB2312" w:cs="仿宋_GB2312"/>
          <w:b/>
          <w:bCs/>
          <w:sz w:val="36"/>
          <w:szCs w:val="36"/>
        </w:rPr>
        <w:t>和安全生产标准化</w:t>
      </w:r>
      <w:r>
        <w:rPr>
          <w:rFonts w:hint="eastAsia" w:ascii="仿宋_GB2312" w:hAnsi="仿宋_GB2312" w:eastAsia="仿宋_GB2312" w:cs="仿宋_GB2312"/>
          <w:b/>
          <w:bCs/>
          <w:sz w:val="36"/>
          <w:szCs w:val="36"/>
          <w:lang w:val="en-US" w:eastAsia="zh-CN"/>
        </w:rPr>
        <w:t>二级达标创建</w:t>
      </w:r>
      <w:r>
        <w:rPr>
          <w:rFonts w:hint="eastAsia" w:ascii="仿宋_GB2312" w:hAnsi="仿宋_GB2312" w:eastAsia="仿宋_GB2312" w:cs="仿宋_GB2312"/>
          <w:b/>
          <w:bCs/>
          <w:sz w:val="36"/>
          <w:szCs w:val="36"/>
        </w:rPr>
        <w:t>技术服务项目</w:t>
      </w:r>
    </w:p>
    <w:p>
      <w:pPr>
        <w:spacing w:line="570" w:lineRule="exact"/>
        <w:jc w:val="center"/>
        <w:rPr>
          <w:rFonts w:hint="eastAsia" w:ascii="仿宋_GB2312" w:hAnsi="仿宋_GB2312" w:eastAsia="仿宋_GB2312" w:cs="仿宋_GB2312"/>
          <w:b/>
          <w:bCs/>
          <w:sz w:val="36"/>
          <w:szCs w:val="36"/>
        </w:rPr>
      </w:pPr>
    </w:p>
    <w:p>
      <w:pPr>
        <w:spacing w:line="570" w:lineRule="exact"/>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比选公告</w:t>
      </w:r>
      <w:bookmarkEnd w:id="0"/>
      <w:bookmarkEnd w:id="1"/>
      <w:bookmarkEnd w:id="2"/>
      <w:bookmarkEnd w:id="3"/>
      <w:bookmarkEnd w:id="4"/>
      <w:bookmarkEnd w:id="5"/>
      <w:bookmarkEnd w:id="6"/>
      <w:bookmarkEnd w:id="7"/>
      <w:bookmarkEnd w:id="8"/>
    </w:p>
    <w:p/>
    <w:p>
      <w:pPr>
        <w:spacing w:line="570" w:lineRule="exact"/>
        <w:rPr>
          <w:rFonts w:hint="eastAsia" w:ascii="仿宋_GB2312" w:hAnsi="仿宋_GB2312" w:eastAsia="仿宋_GB2312" w:cs="仿宋_GB2312"/>
          <w:b/>
          <w:bCs/>
          <w:sz w:val="28"/>
          <w:szCs w:val="24"/>
        </w:rPr>
      </w:pPr>
      <w:r>
        <w:rPr>
          <w:rFonts w:hint="eastAsia" w:ascii="仿宋_GB2312" w:hAnsi="仿宋_GB2312" w:eastAsia="仿宋_GB2312" w:cs="仿宋_GB2312"/>
          <w:b/>
          <w:bCs/>
          <w:sz w:val="28"/>
          <w:szCs w:val="24"/>
        </w:rPr>
        <w:t>1、比选条件</w:t>
      </w:r>
    </w:p>
    <w:p>
      <w:pPr>
        <w:spacing w:line="570" w:lineRule="exact"/>
        <w:ind w:firstLine="560" w:firstLineChars="200"/>
        <w:rPr>
          <w:rFonts w:hint="eastAsia" w:ascii="仿宋_GB2312" w:hAnsi="仿宋_GB2312" w:eastAsia="仿宋_GB2312" w:cs="仿宋_GB2312"/>
          <w:sz w:val="28"/>
          <w:szCs w:val="28"/>
        </w:rPr>
      </w:pPr>
      <w:bookmarkStart w:id="12" w:name="OLE_LINK3"/>
      <w:r>
        <w:rPr>
          <w:rFonts w:hint="eastAsia" w:ascii="仿宋_GB2312" w:hAnsi="仿宋_GB2312" w:eastAsia="仿宋_GB2312" w:cs="仿宋_GB2312"/>
          <w:sz w:val="28"/>
          <w:szCs w:val="28"/>
        </w:rPr>
        <w:t>四川成渝高速公路股份有限公司公路运营管理一分公司</w:t>
      </w:r>
      <w:r>
        <w:rPr>
          <w:rFonts w:hint="eastAsia" w:ascii="仿宋_GB2312" w:hAnsi="仿宋_GB2312" w:eastAsia="仿宋_GB2312" w:cs="仿宋_GB2312"/>
          <w:sz w:val="28"/>
          <w:szCs w:val="28"/>
          <w:lang w:eastAsia="zh-CN"/>
        </w:rPr>
        <w:t>双重预防机制建设和安全生产标准化二级达标创建技术服务项目</w:t>
      </w:r>
      <w:r>
        <w:rPr>
          <w:rFonts w:hint="eastAsia" w:ascii="仿宋_GB2312" w:hAnsi="仿宋_GB2312" w:eastAsia="仿宋_GB2312" w:cs="仿宋_GB2312"/>
          <w:sz w:val="28"/>
          <w:szCs w:val="28"/>
        </w:rPr>
        <w:t>（以下简称“本项目”）资金来源四川成渝高速公路股份有限公司公路运营管理一分公司自有，现由四川成渝高速公路股份有限公司公路运营管理一分公司为</w:t>
      </w: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，负责组织本项目的比选工作。本项目已具备比选条件，现对该项目进行公开比选。</w:t>
      </w:r>
    </w:p>
    <w:bookmarkEnd w:id="12"/>
    <w:p>
      <w:pPr>
        <w:numPr>
          <w:ilvl w:val="255"/>
          <w:numId w:val="0"/>
        </w:numPr>
        <w:spacing w:line="570" w:lineRule="exact"/>
        <w:rPr>
          <w:rFonts w:hint="eastAsia" w:ascii="仿宋_GB2312" w:hAnsi="仿宋_GB2312" w:eastAsia="仿宋_GB2312" w:cs="仿宋_GB2312"/>
          <w:b/>
          <w:bCs/>
          <w:sz w:val="28"/>
          <w:szCs w:val="24"/>
        </w:rPr>
      </w:pPr>
      <w:r>
        <w:rPr>
          <w:rFonts w:hint="eastAsia" w:ascii="仿宋_GB2312" w:hAnsi="仿宋_GB2312" w:eastAsia="仿宋_GB2312" w:cs="仿宋_GB2312"/>
          <w:b/>
          <w:bCs/>
          <w:sz w:val="28"/>
          <w:szCs w:val="24"/>
        </w:rPr>
        <w:t>2、比选范围</w:t>
      </w:r>
    </w:p>
    <w:p>
      <w:pPr>
        <w:widowControl/>
        <w:spacing w:line="570" w:lineRule="exact"/>
        <w:ind w:firstLine="560" w:firstLineChars="200"/>
        <w:jc w:val="left"/>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2.1服务内容</w:t>
      </w:r>
    </w:p>
    <w:p>
      <w:pPr>
        <w:spacing w:line="57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四川成渝高速公路股份有限公司公路运营管理一分公司</w:t>
      </w:r>
      <w:r>
        <w:rPr>
          <w:rFonts w:hint="eastAsia" w:ascii="仿宋_GB2312" w:hAnsi="仿宋_GB2312" w:eastAsia="仿宋_GB2312" w:cs="仿宋_GB2312"/>
          <w:i w:val="0"/>
          <w:iCs w:val="0"/>
          <w:caps w:val="0"/>
          <w:spacing w:val="0"/>
          <w:sz w:val="28"/>
          <w:szCs w:val="24"/>
          <w:shd w:val="clear"/>
        </w:rPr>
        <w:t>负责成渝高速、遂广高速、遂西高速公路及其附属设施的投资、建设、经营管理，输出管理、承接其他公路管理等工作。</w:t>
      </w:r>
      <w:r>
        <w:rPr>
          <w:rFonts w:hint="eastAsia" w:ascii="仿宋_GB2312" w:hAnsi="仿宋_GB2312" w:eastAsia="仿宋_GB2312" w:cs="仿宋_GB2312"/>
          <w:sz w:val="28"/>
          <w:szCs w:val="24"/>
        </w:rPr>
        <w:t>本次比选范围为四川成渝高速公路股份有限公司公路运营管理一分公司双重预防机制</w:t>
      </w:r>
      <w:r>
        <w:rPr>
          <w:rFonts w:hint="eastAsia" w:ascii="仿宋_GB2312" w:hAnsi="仿宋_GB2312" w:eastAsia="仿宋_GB2312" w:cs="仿宋_GB2312"/>
          <w:sz w:val="28"/>
          <w:szCs w:val="24"/>
          <w:lang w:val="en-US" w:eastAsia="zh-CN"/>
        </w:rPr>
        <w:t>建设</w:t>
      </w:r>
      <w:r>
        <w:rPr>
          <w:rFonts w:hint="eastAsia" w:ascii="仿宋_GB2312" w:hAnsi="仿宋_GB2312" w:eastAsia="仿宋_GB2312" w:cs="仿宋_GB2312"/>
          <w:sz w:val="28"/>
          <w:szCs w:val="24"/>
        </w:rPr>
        <w:t>和安全生产标准化</w:t>
      </w:r>
      <w:r>
        <w:rPr>
          <w:rFonts w:hint="eastAsia" w:ascii="仿宋_GB2312" w:hAnsi="仿宋_GB2312" w:eastAsia="仿宋_GB2312" w:cs="仿宋_GB2312"/>
          <w:sz w:val="28"/>
          <w:szCs w:val="24"/>
          <w:lang w:val="en-US" w:eastAsia="zh-CN"/>
        </w:rPr>
        <w:t>二级达标创建</w:t>
      </w:r>
      <w:r>
        <w:rPr>
          <w:rFonts w:hint="eastAsia" w:ascii="仿宋_GB2312" w:hAnsi="仿宋_GB2312" w:eastAsia="仿宋_GB2312" w:cs="仿宋_GB2312"/>
          <w:sz w:val="28"/>
          <w:szCs w:val="24"/>
        </w:rPr>
        <w:t>技术服务工作，服务内容包括：</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5"/>
        <w:gridCol w:w="786"/>
        <w:gridCol w:w="923"/>
        <w:gridCol w:w="5357"/>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8" w:type="pct"/>
            <w:shd w:val="clear" w:color="000000" w:fill="FFFFFF"/>
            <w:vAlign w:val="center"/>
          </w:tcPr>
          <w:p>
            <w:pPr>
              <w:widowControl/>
              <w:jc w:val="center"/>
              <w:rPr>
                <w:rFonts w:hint="eastAsia" w:ascii="宋体" w:hAnsi="宋体" w:eastAsia="宋体" w:cs="宋体"/>
                <w:b/>
                <w:bCs/>
                <w:color w:val="000000"/>
                <w:kern w:val="0"/>
                <w:sz w:val="24"/>
                <w:szCs w:val="24"/>
              </w:rPr>
            </w:pPr>
            <w:bookmarkStart w:id="13" w:name="_Hlk208845224"/>
            <w:r>
              <w:rPr>
                <w:rFonts w:hint="eastAsia" w:ascii="宋体" w:hAnsi="宋体" w:eastAsia="宋体" w:cs="宋体"/>
                <w:b/>
                <w:bCs/>
                <w:color w:val="000000"/>
                <w:kern w:val="0"/>
                <w:sz w:val="24"/>
                <w:szCs w:val="24"/>
              </w:rPr>
              <w:t>序号</w:t>
            </w:r>
          </w:p>
        </w:tc>
        <w:tc>
          <w:tcPr>
            <w:tcW w:w="428" w:type="pct"/>
            <w:shd w:val="clear" w:color="000000" w:fill="FFFFFF"/>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工作要素</w:t>
            </w:r>
          </w:p>
        </w:tc>
        <w:tc>
          <w:tcPr>
            <w:tcW w:w="503" w:type="pct"/>
            <w:shd w:val="clear" w:color="000000" w:fill="FFFFFF"/>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工作内容</w:t>
            </w:r>
          </w:p>
        </w:tc>
        <w:tc>
          <w:tcPr>
            <w:tcW w:w="2918" w:type="pct"/>
            <w:shd w:val="clear" w:color="000000" w:fill="FFFFFF"/>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备注说明</w:t>
            </w:r>
          </w:p>
        </w:tc>
        <w:tc>
          <w:tcPr>
            <w:tcW w:w="843" w:type="pct"/>
            <w:shd w:val="clear" w:color="000000" w:fill="FFFFFF"/>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交付成果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8" w:type="pct"/>
            <w:vMerge w:val="restart"/>
            <w:shd w:val="clear" w:color="000000" w:fill="FFFFFF"/>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428" w:type="pct"/>
            <w:vMerge w:val="restart"/>
            <w:shd w:val="clear" w:color="000000" w:fill="FFFFFF"/>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风险分级管控与隐患排查双重预防机制重构</w:t>
            </w:r>
          </w:p>
        </w:tc>
        <w:tc>
          <w:tcPr>
            <w:tcW w:w="503" w:type="pct"/>
            <w:shd w:val="clear" w:color="000000" w:fill="FFFFFF"/>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建立安全风险清单库</w:t>
            </w:r>
          </w:p>
        </w:tc>
        <w:tc>
          <w:tcPr>
            <w:tcW w:w="2918" w:type="pct"/>
            <w:shd w:val="clear" w:color="000000" w:fill="FFFFFF"/>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依照“川交高管安委〔2017〕3号”第2条第2款第3项的要求：一是管控责任清单，风险点管控责任要逐级明确并落实到企业、部门、岗位和一线操作层面。</w:t>
            </w:r>
          </w:p>
        </w:tc>
        <w:tc>
          <w:tcPr>
            <w:tcW w:w="843" w:type="pct"/>
            <w:shd w:val="clear" w:color="000000" w:fill="FFFFFF"/>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安全风险清单1套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308" w:type="pct"/>
            <w:vMerge w:val="continue"/>
            <w:vAlign w:val="center"/>
          </w:tcPr>
          <w:p>
            <w:pPr>
              <w:widowControl/>
              <w:jc w:val="left"/>
              <w:rPr>
                <w:rFonts w:hint="eastAsia" w:ascii="宋体" w:hAnsi="宋体" w:eastAsia="宋体" w:cs="宋体"/>
                <w:color w:val="000000"/>
                <w:kern w:val="0"/>
                <w:sz w:val="21"/>
                <w:szCs w:val="21"/>
              </w:rPr>
            </w:pPr>
          </w:p>
        </w:tc>
        <w:tc>
          <w:tcPr>
            <w:tcW w:w="428" w:type="pct"/>
            <w:vMerge w:val="continue"/>
            <w:vAlign w:val="center"/>
          </w:tcPr>
          <w:p>
            <w:pPr>
              <w:widowControl/>
              <w:jc w:val="left"/>
              <w:rPr>
                <w:rFonts w:hint="eastAsia" w:ascii="宋体" w:hAnsi="宋体" w:eastAsia="宋体" w:cs="宋体"/>
                <w:color w:val="000000"/>
                <w:kern w:val="0"/>
                <w:sz w:val="21"/>
                <w:szCs w:val="21"/>
              </w:rPr>
            </w:pPr>
          </w:p>
        </w:tc>
        <w:tc>
          <w:tcPr>
            <w:tcW w:w="503" w:type="pct"/>
            <w:shd w:val="clear" w:color="000000" w:fill="FFFFFF"/>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建立安全风险管控措施体系</w:t>
            </w:r>
          </w:p>
        </w:tc>
        <w:tc>
          <w:tcPr>
            <w:tcW w:w="2918" w:type="pct"/>
            <w:shd w:val="clear" w:color="000000" w:fill="FFFFFF"/>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依照“川交高管安委〔2017〕3号”第2条第2款第3项的要求：二是管控措施清单，风险点要制定科学合理的制度管理、物理工程、在线监测、视频监控、自动化控制和应急管理等措施，并实施有效管控。</w:t>
            </w:r>
          </w:p>
        </w:tc>
        <w:tc>
          <w:tcPr>
            <w:tcW w:w="843" w:type="pct"/>
            <w:shd w:val="clear" w:color="000000" w:fill="FFFFFF"/>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桥涵、隧道、路基路面、交安设施、机电、收费等风险管控清单分别1套，隐患排查治理措施清单分别1套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8" w:type="pct"/>
            <w:vMerge w:val="continue"/>
            <w:vAlign w:val="center"/>
          </w:tcPr>
          <w:p>
            <w:pPr>
              <w:widowControl/>
              <w:jc w:val="left"/>
              <w:rPr>
                <w:rFonts w:hint="eastAsia" w:ascii="宋体" w:hAnsi="宋体" w:eastAsia="宋体" w:cs="宋体"/>
                <w:color w:val="000000"/>
                <w:kern w:val="0"/>
                <w:sz w:val="21"/>
                <w:szCs w:val="21"/>
              </w:rPr>
            </w:pPr>
          </w:p>
        </w:tc>
        <w:tc>
          <w:tcPr>
            <w:tcW w:w="428" w:type="pct"/>
            <w:vMerge w:val="continue"/>
            <w:vAlign w:val="center"/>
          </w:tcPr>
          <w:p>
            <w:pPr>
              <w:widowControl/>
              <w:jc w:val="left"/>
              <w:rPr>
                <w:rFonts w:hint="eastAsia" w:ascii="宋体" w:hAnsi="宋体" w:eastAsia="宋体" w:cs="宋体"/>
                <w:color w:val="000000"/>
                <w:kern w:val="0"/>
                <w:sz w:val="21"/>
                <w:szCs w:val="21"/>
              </w:rPr>
            </w:pPr>
          </w:p>
        </w:tc>
        <w:tc>
          <w:tcPr>
            <w:tcW w:w="503" w:type="pct"/>
            <w:shd w:val="clear" w:color="000000" w:fill="FFFFFF"/>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建立风险分布图</w:t>
            </w:r>
          </w:p>
        </w:tc>
        <w:tc>
          <w:tcPr>
            <w:tcW w:w="2918" w:type="pct"/>
            <w:shd w:val="clear" w:color="000000" w:fill="FFFFFF"/>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绘制一分公司高速公路风险分布图</w:t>
            </w:r>
          </w:p>
        </w:tc>
        <w:tc>
          <w:tcPr>
            <w:tcW w:w="843" w:type="pct"/>
            <w:shd w:val="clear" w:color="000000" w:fill="FFFFFF"/>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风险分布图1份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308" w:type="pct"/>
            <w:vMerge w:val="continue"/>
            <w:vAlign w:val="center"/>
          </w:tcPr>
          <w:p>
            <w:pPr>
              <w:widowControl/>
              <w:jc w:val="left"/>
              <w:rPr>
                <w:rFonts w:hint="eastAsia" w:ascii="宋体" w:hAnsi="宋体" w:eastAsia="宋体" w:cs="宋体"/>
                <w:color w:val="000000"/>
                <w:kern w:val="0"/>
                <w:sz w:val="21"/>
                <w:szCs w:val="21"/>
              </w:rPr>
            </w:pPr>
          </w:p>
        </w:tc>
        <w:tc>
          <w:tcPr>
            <w:tcW w:w="428" w:type="pct"/>
            <w:vMerge w:val="continue"/>
            <w:vAlign w:val="center"/>
          </w:tcPr>
          <w:p>
            <w:pPr>
              <w:widowControl/>
              <w:jc w:val="left"/>
              <w:rPr>
                <w:rFonts w:hint="eastAsia" w:ascii="宋体" w:hAnsi="宋体" w:eastAsia="宋体" w:cs="宋体"/>
                <w:color w:val="000000"/>
                <w:kern w:val="0"/>
                <w:sz w:val="21"/>
                <w:szCs w:val="21"/>
              </w:rPr>
            </w:pPr>
          </w:p>
        </w:tc>
        <w:tc>
          <w:tcPr>
            <w:tcW w:w="503" w:type="pct"/>
            <w:shd w:val="clear" w:color="000000" w:fill="FFFFFF"/>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建立一套安全风险告知卡</w:t>
            </w:r>
          </w:p>
        </w:tc>
        <w:tc>
          <w:tcPr>
            <w:tcW w:w="2918" w:type="pct"/>
            <w:shd w:val="clear" w:color="000000" w:fill="FFFFFF"/>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以岗位或作业场景为核心，‌整合风险类型、防控措施、应急处置流程、安全操作规范及禁止行为等关键信息，通过分类提炼、简明化表述和可操作性语言，形成分条目、易理解且符合法规与行业标准的内容框架‌，设计制定安全风险告知卡。</w:t>
            </w:r>
          </w:p>
        </w:tc>
        <w:tc>
          <w:tcPr>
            <w:tcW w:w="843" w:type="pct"/>
            <w:shd w:val="clear" w:color="000000" w:fill="FFFFFF"/>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风险告知卡一套</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（初步估算不少于100张）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308" w:type="pct"/>
            <w:vMerge w:val="continue"/>
            <w:vAlign w:val="center"/>
          </w:tcPr>
          <w:p>
            <w:pPr>
              <w:widowControl/>
              <w:jc w:val="left"/>
              <w:rPr>
                <w:rFonts w:hint="eastAsia" w:ascii="宋体" w:hAnsi="宋体" w:eastAsia="宋体" w:cs="宋体"/>
                <w:color w:val="000000"/>
                <w:kern w:val="0"/>
                <w:sz w:val="21"/>
                <w:szCs w:val="21"/>
              </w:rPr>
            </w:pPr>
          </w:p>
        </w:tc>
        <w:tc>
          <w:tcPr>
            <w:tcW w:w="428" w:type="pct"/>
            <w:vMerge w:val="continue"/>
            <w:vAlign w:val="center"/>
          </w:tcPr>
          <w:p>
            <w:pPr>
              <w:widowControl/>
              <w:jc w:val="left"/>
              <w:rPr>
                <w:rFonts w:hint="eastAsia" w:ascii="宋体" w:hAnsi="宋体" w:eastAsia="宋体" w:cs="宋体"/>
                <w:color w:val="000000"/>
                <w:kern w:val="0"/>
                <w:sz w:val="21"/>
                <w:szCs w:val="21"/>
              </w:rPr>
            </w:pPr>
          </w:p>
        </w:tc>
        <w:tc>
          <w:tcPr>
            <w:tcW w:w="503" w:type="pct"/>
            <w:shd w:val="clear" w:color="000000" w:fill="FFFFFF"/>
            <w:vAlign w:val="center"/>
          </w:tcPr>
          <w:p>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风险评估实施</w:t>
            </w:r>
          </w:p>
        </w:tc>
        <w:tc>
          <w:tcPr>
            <w:tcW w:w="2918" w:type="pct"/>
            <w:shd w:val="clear" w:color="000000" w:fill="FFFFFF"/>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环境风险评估包括但不限于：分析各类事故衍化规律、自然灾害影响程度，识别环境危害因素，分析与周边可能受影响的居民、单位、区域环境的关系，构建突发环境事件及其后果情景，确定环境风险等级。</w:t>
            </w:r>
          </w:p>
        </w:tc>
        <w:tc>
          <w:tcPr>
            <w:tcW w:w="843" w:type="pct"/>
            <w:shd w:val="clear" w:color="000000" w:fill="FFFFFF"/>
            <w:vAlign w:val="center"/>
          </w:tcPr>
          <w:p>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风险评估报告1份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308" w:type="pct"/>
            <w:vMerge w:val="continue"/>
            <w:vAlign w:val="center"/>
          </w:tcPr>
          <w:p>
            <w:pPr>
              <w:widowControl/>
              <w:jc w:val="left"/>
              <w:rPr>
                <w:rFonts w:hint="eastAsia" w:ascii="宋体" w:hAnsi="宋体" w:eastAsia="宋体" w:cs="宋体"/>
                <w:color w:val="000000"/>
                <w:kern w:val="0"/>
                <w:sz w:val="21"/>
                <w:szCs w:val="21"/>
              </w:rPr>
            </w:pPr>
          </w:p>
        </w:tc>
        <w:tc>
          <w:tcPr>
            <w:tcW w:w="428" w:type="pct"/>
            <w:vMerge w:val="continue"/>
            <w:vAlign w:val="center"/>
          </w:tcPr>
          <w:p>
            <w:pPr>
              <w:widowControl/>
              <w:jc w:val="left"/>
              <w:rPr>
                <w:rFonts w:hint="eastAsia" w:ascii="宋体" w:hAnsi="宋体" w:eastAsia="宋体" w:cs="宋体"/>
                <w:color w:val="000000"/>
                <w:kern w:val="0"/>
                <w:sz w:val="21"/>
                <w:szCs w:val="21"/>
              </w:rPr>
            </w:pPr>
          </w:p>
        </w:tc>
        <w:tc>
          <w:tcPr>
            <w:tcW w:w="503" w:type="pct"/>
            <w:shd w:val="clear" w:color="000000" w:fill="FFFFFF"/>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梳理建立重大事故隐患判定标准清单</w:t>
            </w:r>
          </w:p>
        </w:tc>
        <w:tc>
          <w:tcPr>
            <w:tcW w:w="2918" w:type="pct"/>
            <w:shd w:val="clear" w:color="000000" w:fill="FFFFFF"/>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（1）依照已颁布的重大事故隐患判定标准，建立一分公司重大事故隐患判定标准清单；【注：《应急管理部关于严格规范安全生产执法行为的通知》（应急〔2025〕11号）】</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建立其他可能导致重特大事故的高风险事项清单。【注：《应急管理部关于严格规范安全生产执法行为的通知》（应急〔2025〕11号）、《国务院安委会办公室关于学好用好重大事故隐患判定标准的通知》（安委办〔2024〕2号）】</w:t>
            </w:r>
          </w:p>
        </w:tc>
        <w:tc>
          <w:tcPr>
            <w:tcW w:w="843" w:type="pct"/>
            <w:shd w:val="clear" w:color="000000" w:fill="FFFFFF"/>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1.重大事故隐患判定标准清单；</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2.其他可能导致重特大事故的高风险事项清单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308" w:type="pct"/>
            <w:vMerge w:val="continue"/>
            <w:vAlign w:val="center"/>
          </w:tcPr>
          <w:p>
            <w:pPr>
              <w:widowControl/>
              <w:jc w:val="left"/>
              <w:rPr>
                <w:rFonts w:hint="eastAsia" w:ascii="宋体" w:hAnsi="宋体" w:eastAsia="宋体" w:cs="宋体"/>
                <w:color w:val="000000"/>
                <w:kern w:val="0"/>
                <w:sz w:val="21"/>
                <w:szCs w:val="21"/>
              </w:rPr>
            </w:pPr>
          </w:p>
        </w:tc>
        <w:tc>
          <w:tcPr>
            <w:tcW w:w="428" w:type="pct"/>
            <w:vMerge w:val="continue"/>
            <w:vAlign w:val="center"/>
          </w:tcPr>
          <w:p>
            <w:pPr>
              <w:widowControl/>
              <w:jc w:val="left"/>
              <w:rPr>
                <w:rFonts w:hint="eastAsia" w:ascii="宋体" w:hAnsi="宋体" w:eastAsia="宋体" w:cs="宋体"/>
                <w:color w:val="000000"/>
                <w:kern w:val="0"/>
                <w:sz w:val="21"/>
                <w:szCs w:val="21"/>
              </w:rPr>
            </w:pPr>
          </w:p>
        </w:tc>
        <w:tc>
          <w:tcPr>
            <w:tcW w:w="503" w:type="pct"/>
            <w:shd w:val="clear" w:color="000000" w:fill="FFFFFF"/>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双重预防机制建设工作手册</w:t>
            </w:r>
          </w:p>
        </w:tc>
        <w:tc>
          <w:tcPr>
            <w:tcW w:w="2918" w:type="pct"/>
            <w:shd w:val="clear" w:color="000000" w:fill="FFFFFF"/>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双重预防机制建设工作手册主要包括‌组织机构设立（领导小组及分级管理体系）、双机制制度文件编制（风险分级管控与隐患排查治理制度、操作指南及记录表格）、风险辨识与评估流程（危险源识别、风险分级、管控措施制定及公示）‌、隐患排查治理程序（隐患分类、整改计划及闭环管理）、动态更新与持续改进机制（定期评估、信息平台建设及考核激励）‌，并配套‌风险四色分布图、岗位风险告知卡及应急处置卡等可视化工具‌。</w:t>
            </w:r>
          </w:p>
        </w:tc>
        <w:tc>
          <w:tcPr>
            <w:tcW w:w="843" w:type="pct"/>
            <w:shd w:val="clear" w:color="000000" w:fill="FFFFFF"/>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安全风险因素基础数据库1套、安全风险防控手册1册，每个站、区、队安全风险管控手册1套，双重预防机制建设运行手册（或报告）1册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308" w:type="pct"/>
            <w:vMerge w:val="restart"/>
            <w:shd w:val="clear" w:color="000000" w:fill="FFFFFF"/>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428" w:type="pct"/>
            <w:vMerge w:val="restart"/>
            <w:shd w:val="clear" w:color="000000" w:fill="FFFFFF"/>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安全生产标准化</w:t>
            </w:r>
            <w:r>
              <w:rPr>
                <w:rFonts w:hint="eastAsia" w:ascii="宋体" w:hAnsi="宋体" w:eastAsia="宋体" w:cs="宋体"/>
                <w:color w:val="000000"/>
                <w:kern w:val="0"/>
                <w:sz w:val="21"/>
                <w:szCs w:val="21"/>
                <w:lang w:val="en-US" w:eastAsia="zh-CN"/>
              </w:rPr>
              <w:t>创建</w:t>
            </w:r>
          </w:p>
        </w:tc>
        <w:tc>
          <w:tcPr>
            <w:tcW w:w="503" w:type="pct"/>
            <w:shd w:val="clear" w:color="000000" w:fill="FFFFFF"/>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持续改进计划制定与实施</w:t>
            </w:r>
          </w:p>
        </w:tc>
        <w:tc>
          <w:tcPr>
            <w:tcW w:w="2918" w:type="pct"/>
            <w:shd w:val="clear" w:color="000000" w:fill="FFFFFF"/>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（1）成立标准化持续改进领导小组；</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（2）制定《2025年度标准化持续改进计划》；</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（3）明确改进目标、责任部门和完成时限；</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（4）开展标准化体系运行现状评估，全过程安全管理组织形成《安全生产标准化体系运行评估报告》。</w:t>
            </w:r>
          </w:p>
        </w:tc>
        <w:tc>
          <w:tcPr>
            <w:tcW w:w="843" w:type="pct"/>
            <w:shd w:val="clear" w:color="000000" w:fill="FFFFFF"/>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1.《2025年度标准化持续改进计划》1个</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2.《安全生产标准化体系运行评估报告》1个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308" w:type="pct"/>
            <w:vMerge w:val="continue"/>
            <w:vAlign w:val="center"/>
          </w:tcPr>
          <w:p>
            <w:pPr>
              <w:widowControl/>
              <w:jc w:val="left"/>
              <w:rPr>
                <w:rFonts w:hint="eastAsia" w:ascii="宋体" w:hAnsi="宋体" w:eastAsia="宋体" w:cs="宋体"/>
                <w:color w:val="000000"/>
                <w:kern w:val="0"/>
                <w:sz w:val="21"/>
                <w:szCs w:val="21"/>
              </w:rPr>
            </w:pPr>
          </w:p>
        </w:tc>
        <w:tc>
          <w:tcPr>
            <w:tcW w:w="428" w:type="pct"/>
            <w:vMerge w:val="continue"/>
            <w:vAlign w:val="center"/>
          </w:tcPr>
          <w:p>
            <w:pPr>
              <w:widowControl/>
              <w:jc w:val="left"/>
              <w:rPr>
                <w:rFonts w:hint="eastAsia" w:ascii="宋体" w:hAnsi="宋体" w:eastAsia="宋体" w:cs="宋体"/>
                <w:color w:val="000000"/>
                <w:kern w:val="0"/>
                <w:sz w:val="21"/>
                <w:szCs w:val="21"/>
              </w:rPr>
            </w:pPr>
          </w:p>
        </w:tc>
        <w:tc>
          <w:tcPr>
            <w:tcW w:w="503" w:type="pct"/>
            <w:shd w:val="clear" w:color="000000" w:fill="FFFFFF"/>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内部审核与问题整改</w:t>
            </w:r>
          </w:p>
        </w:tc>
        <w:tc>
          <w:tcPr>
            <w:tcW w:w="2918" w:type="pct"/>
            <w:shd w:val="clear" w:color="000000" w:fill="FFFFFF"/>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（1）开展全面内部审核；</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（2）覆盖各部门和代表性基层单位，重点核查安全责任制、风险管控、应急管理等内容；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（3）编制《内部审核报告》并通报问题；</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（4）制定整改方案；</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（5）针对高风险问题优先指导整改，形成《内部审核问题整改跟踪表》。</w:t>
            </w:r>
          </w:p>
        </w:tc>
        <w:tc>
          <w:tcPr>
            <w:tcW w:w="843" w:type="pct"/>
            <w:shd w:val="clear" w:color="000000" w:fill="FFFFFF"/>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1.《内部审核报告》1个</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2.《内部审核问题整改跟踪表》1个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308" w:type="pct"/>
            <w:vMerge w:val="continue"/>
            <w:vAlign w:val="center"/>
          </w:tcPr>
          <w:p>
            <w:pPr>
              <w:widowControl/>
              <w:jc w:val="left"/>
              <w:rPr>
                <w:rFonts w:hint="eastAsia" w:ascii="宋体" w:hAnsi="宋体" w:eastAsia="宋体" w:cs="宋体"/>
                <w:color w:val="000000"/>
                <w:kern w:val="0"/>
                <w:sz w:val="21"/>
                <w:szCs w:val="21"/>
              </w:rPr>
            </w:pPr>
          </w:p>
        </w:tc>
        <w:tc>
          <w:tcPr>
            <w:tcW w:w="428" w:type="pct"/>
            <w:vMerge w:val="continue"/>
            <w:vAlign w:val="center"/>
          </w:tcPr>
          <w:p>
            <w:pPr>
              <w:widowControl/>
              <w:jc w:val="left"/>
              <w:rPr>
                <w:rFonts w:hint="eastAsia" w:ascii="宋体" w:hAnsi="宋体" w:eastAsia="宋体" w:cs="宋体"/>
                <w:color w:val="000000"/>
                <w:kern w:val="0"/>
                <w:sz w:val="21"/>
                <w:szCs w:val="21"/>
              </w:rPr>
            </w:pPr>
          </w:p>
        </w:tc>
        <w:tc>
          <w:tcPr>
            <w:tcW w:w="503" w:type="pct"/>
            <w:shd w:val="clear" w:color="000000" w:fill="FFFFFF"/>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安全责任制体系整改优化</w:t>
            </w:r>
          </w:p>
        </w:tc>
        <w:tc>
          <w:tcPr>
            <w:tcW w:w="2918" w:type="pct"/>
            <w:shd w:val="clear" w:color="000000" w:fill="FFFFFF"/>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以“安全第一、预防为主、综合治理”为方针，通过明确企业负责人、管理层、部门及岗位人员的安全生产职责，构建覆盖全员的“企业-部门-班组”三级责任网络；具体包括落实安全管理制度、操作规程和应急预案，落实风险分级管控与隐患排查治理双重机制，定期开展安全培训与应急演练，并将安全生产履职情况纳入绩效考核，形成“责任到人、考核到岗、追责到底”的闭环管理体系‌。</w:t>
            </w:r>
          </w:p>
        </w:tc>
        <w:tc>
          <w:tcPr>
            <w:tcW w:w="843" w:type="pct"/>
            <w:shd w:val="clear" w:color="000000" w:fill="FFFFFF"/>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安全生产责任制1套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308" w:type="pct"/>
            <w:vMerge w:val="continue"/>
            <w:vAlign w:val="center"/>
          </w:tcPr>
          <w:p>
            <w:pPr>
              <w:widowControl/>
              <w:jc w:val="left"/>
              <w:rPr>
                <w:rFonts w:hint="eastAsia" w:ascii="宋体" w:hAnsi="宋体" w:eastAsia="宋体" w:cs="宋体"/>
                <w:color w:val="000000"/>
                <w:kern w:val="0"/>
                <w:sz w:val="21"/>
                <w:szCs w:val="21"/>
              </w:rPr>
            </w:pPr>
          </w:p>
        </w:tc>
        <w:tc>
          <w:tcPr>
            <w:tcW w:w="428" w:type="pct"/>
            <w:vMerge w:val="continue"/>
            <w:vAlign w:val="center"/>
          </w:tcPr>
          <w:p>
            <w:pPr>
              <w:widowControl/>
              <w:jc w:val="left"/>
              <w:rPr>
                <w:rFonts w:hint="eastAsia" w:ascii="宋体" w:hAnsi="宋体" w:eastAsia="宋体" w:cs="宋体"/>
                <w:color w:val="000000"/>
                <w:kern w:val="0"/>
                <w:sz w:val="21"/>
                <w:szCs w:val="21"/>
              </w:rPr>
            </w:pPr>
          </w:p>
        </w:tc>
        <w:tc>
          <w:tcPr>
            <w:tcW w:w="503" w:type="pct"/>
            <w:shd w:val="clear" w:color="000000" w:fill="FFFFFF"/>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安全责任清单体系整改优化</w:t>
            </w:r>
          </w:p>
        </w:tc>
        <w:tc>
          <w:tcPr>
            <w:tcW w:w="2918" w:type="pct"/>
            <w:shd w:val="clear" w:color="000000" w:fill="FFFFFF"/>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以“党政同责、一岗双责”为原则，明确企业主要负责人为第一责任人、分管领导为直接责任人，结合《四川省安全生产条例》细化风险管控、隐患排查、应急处置等环节的分级分类责任条目；通过动态更新机制衔接法规修订与业务调整，并依托目标考核、信用评价及事故倒查等手段监督责任落实，实现“清单明责、履责留痕、失职追责”的精细化、可追溯管理‌。</w:t>
            </w:r>
          </w:p>
        </w:tc>
        <w:tc>
          <w:tcPr>
            <w:tcW w:w="843" w:type="pct"/>
            <w:shd w:val="clear" w:color="000000" w:fill="FFFFFF"/>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安全生产责任清单1套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trPr>
        <w:tc>
          <w:tcPr>
            <w:tcW w:w="308" w:type="pct"/>
            <w:vMerge w:val="continue"/>
            <w:vAlign w:val="center"/>
          </w:tcPr>
          <w:p>
            <w:pPr>
              <w:widowControl/>
              <w:jc w:val="left"/>
              <w:rPr>
                <w:rFonts w:hint="eastAsia" w:ascii="宋体" w:hAnsi="宋体" w:eastAsia="宋体" w:cs="宋体"/>
                <w:color w:val="000000"/>
                <w:kern w:val="0"/>
                <w:sz w:val="21"/>
                <w:szCs w:val="21"/>
              </w:rPr>
            </w:pPr>
          </w:p>
        </w:tc>
        <w:tc>
          <w:tcPr>
            <w:tcW w:w="428" w:type="pct"/>
            <w:vMerge w:val="continue"/>
            <w:vAlign w:val="center"/>
          </w:tcPr>
          <w:p>
            <w:pPr>
              <w:widowControl/>
              <w:jc w:val="left"/>
              <w:rPr>
                <w:rFonts w:hint="eastAsia" w:ascii="宋体" w:hAnsi="宋体" w:eastAsia="宋体" w:cs="宋体"/>
                <w:color w:val="000000"/>
                <w:kern w:val="0"/>
                <w:sz w:val="21"/>
                <w:szCs w:val="21"/>
              </w:rPr>
            </w:pPr>
          </w:p>
        </w:tc>
        <w:tc>
          <w:tcPr>
            <w:tcW w:w="503" w:type="pct"/>
            <w:shd w:val="clear" w:color="000000" w:fill="FFFFFF"/>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教育培训体系整改优化</w:t>
            </w:r>
          </w:p>
        </w:tc>
        <w:tc>
          <w:tcPr>
            <w:tcW w:w="2918" w:type="pct"/>
            <w:shd w:val="clear" w:color="000000" w:fill="FFFFFF"/>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安全教育培训需求识别、汇总及分析咨询；安全教育培训计划咨询；指导完善安全教育培训记录、培训档案、培训效果评估记录、改进措施相关资料；特种设备作业人员、新员工、劳务派遣人员安全教育培训相关管理咨询；</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建立分层分类的全员培训机制（如三级安全教育）机制、岗位风险与操作规程培训机制、应急处置演练培训机制、安全法律法规宣贯要求、专项技能提升及事故案例警示教育机制等内容，指导定期考核、动态更新和效果评估实现培训的系统化与持续性‌。</w:t>
            </w:r>
          </w:p>
        </w:tc>
        <w:tc>
          <w:tcPr>
            <w:tcW w:w="843" w:type="pct"/>
            <w:shd w:val="clear" w:color="000000" w:fill="FFFFFF"/>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安全生产教育培训机制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308" w:type="pct"/>
            <w:vMerge w:val="continue"/>
            <w:vAlign w:val="center"/>
          </w:tcPr>
          <w:p>
            <w:pPr>
              <w:widowControl/>
              <w:jc w:val="left"/>
              <w:rPr>
                <w:rFonts w:hint="eastAsia" w:ascii="宋体" w:hAnsi="宋体" w:eastAsia="宋体" w:cs="宋体"/>
                <w:color w:val="000000"/>
                <w:kern w:val="0"/>
                <w:sz w:val="21"/>
                <w:szCs w:val="21"/>
              </w:rPr>
            </w:pPr>
          </w:p>
        </w:tc>
        <w:tc>
          <w:tcPr>
            <w:tcW w:w="428" w:type="pct"/>
            <w:vMerge w:val="continue"/>
            <w:vAlign w:val="center"/>
          </w:tcPr>
          <w:p>
            <w:pPr>
              <w:widowControl/>
              <w:jc w:val="left"/>
              <w:rPr>
                <w:rFonts w:hint="eastAsia" w:ascii="宋体" w:hAnsi="宋体" w:eastAsia="宋体" w:cs="宋体"/>
                <w:color w:val="000000"/>
                <w:kern w:val="0"/>
                <w:sz w:val="21"/>
                <w:szCs w:val="21"/>
              </w:rPr>
            </w:pPr>
          </w:p>
        </w:tc>
        <w:tc>
          <w:tcPr>
            <w:tcW w:w="503" w:type="pct"/>
            <w:shd w:val="clear" w:color="000000" w:fill="FFFFFF"/>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管理评审</w:t>
            </w:r>
          </w:p>
        </w:tc>
        <w:tc>
          <w:tcPr>
            <w:tcW w:w="2918" w:type="pct"/>
            <w:shd w:val="clear" w:color="000000" w:fill="FFFFFF"/>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（1）开展管理评审交底；</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（2）评审标准化体系运行的充分性、适宜性和有效性；</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（3）输出《安全生产标准化</w:t>
            </w:r>
            <w:r>
              <w:rPr>
                <w:rFonts w:hint="eastAsia" w:ascii="宋体" w:hAnsi="宋体" w:eastAsia="宋体" w:cs="宋体"/>
                <w:color w:val="000000"/>
                <w:kern w:val="0"/>
                <w:sz w:val="21"/>
                <w:szCs w:val="21"/>
                <w:lang w:val="en-US" w:eastAsia="zh-CN"/>
              </w:rPr>
              <w:t>二</w:t>
            </w:r>
            <w:r>
              <w:rPr>
                <w:rFonts w:hint="eastAsia" w:ascii="宋体" w:hAnsi="宋体" w:eastAsia="宋体" w:cs="宋体"/>
                <w:color w:val="000000"/>
                <w:kern w:val="0"/>
                <w:sz w:val="21"/>
                <w:szCs w:val="21"/>
              </w:rPr>
              <w:t>级管理评审报告（自评报告）》；</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（4）根据评审结果编制《一分公司(安全生产标准化手册》及相关程序文件。</w:t>
            </w:r>
          </w:p>
        </w:tc>
        <w:tc>
          <w:tcPr>
            <w:tcW w:w="843" w:type="pct"/>
            <w:shd w:val="clear" w:color="000000" w:fill="FFFFFF"/>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1.《安全生产标准化二级管理评审报告（自评报告）》1个</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2.《一分公司(安全生产标准化手册》1个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308" w:type="pct"/>
            <w:vMerge w:val="continue"/>
            <w:vAlign w:val="center"/>
          </w:tcPr>
          <w:p>
            <w:pPr>
              <w:widowControl/>
              <w:jc w:val="left"/>
              <w:rPr>
                <w:rFonts w:hint="eastAsia" w:ascii="宋体" w:hAnsi="宋体" w:eastAsia="宋体" w:cs="宋体"/>
                <w:color w:val="000000"/>
                <w:kern w:val="0"/>
                <w:sz w:val="21"/>
                <w:szCs w:val="21"/>
              </w:rPr>
            </w:pPr>
          </w:p>
        </w:tc>
        <w:tc>
          <w:tcPr>
            <w:tcW w:w="428" w:type="pct"/>
            <w:vMerge w:val="continue"/>
            <w:vAlign w:val="center"/>
          </w:tcPr>
          <w:p>
            <w:pPr>
              <w:widowControl/>
              <w:jc w:val="left"/>
              <w:rPr>
                <w:rFonts w:hint="eastAsia" w:ascii="宋体" w:hAnsi="宋体" w:eastAsia="宋体" w:cs="宋体"/>
                <w:color w:val="000000"/>
                <w:kern w:val="0"/>
                <w:sz w:val="21"/>
                <w:szCs w:val="21"/>
              </w:rPr>
            </w:pPr>
          </w:p>
        </w:tc>
        <w:tc>
          <w:tcPr>
            <w:tcW w:w="503" w:type="pct"/>
            <w:shd w:val="clear" w:color="000000" w:fill="FFFFFF"/>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年度评价准备</w:t>
            </w:r>
          </w:p>
        </w:tc>
        <w:tc>
          <w:tcPr>
            <w:tcW w:w="2918" w:type="pct"/>
            <w:shd w:val="clear" w:color="000000" w:fill="FFFFFF"/>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（1）开展模拟外部评审；</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（2）发现问题并整改；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（3）整理年度核查资料；</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（4）归档安全生产记录、培训档案、隐患整改台账等证明材料；</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（5）提交年度核查申请；</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（6）向交通运输主管部门或评审机构提交《标准化年度核查申请表》。</w:t>
            </w:r>
          </w:p>
        </w:tc>
        <w:tc>
          <w:tcPr>
            <w:tcW w:w="843" w:type="pct"/>
            <w:shd w:val="clear" w:color="000000" w:fill="FFFFFF"/>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1.《标准化年度评价申请表》，向外提交</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2.《年度评价资料清单模板》1套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308" w:type="pct"/>
            <w:vMerge w:val="continue"/>
            <w:vAlign w:val="center"/>
          </w:tcPr>
          <w:p>
            <w:pPr>
              <w:widowControl/>
              <w:jc w:val="left"/>
              <w:rPr>
                <w:rFonts w:hint="eastAsia" w:ascii="宋体" w:hAnsi="宋体" w:eastAsia="宋体" w:cs="宋体"/>
                <w:color w:val="000000"/>
                <w:kern w:val="0"/>
                <w:sz w:val="21"/>
                <w:szCs w:val="21"/>
              </w:rPr>
            </w:pPr>
          </w:p>
        </w:tc>
        <w:tc>
          <w:tcPr>
            <w:tcW w:w="428" w:type="pct"/>
            <w:vMerge w:val="continue"/>
            <w:vAlign w:val="center"/>
          </w:tcPr>
          <w:p>
            <w:pPr>
              <w:widowControl/>
              <w:jc w:val="left"/>
              <w:rPr>
                <w:rFonts w:hint="eastAsia" w:ascii="宋体" w:hAnsi="宋体" w:eastAsia="宋体" w:cs="宋体"/>
                <w:color w:val="000000"/>
                <w:kern w:val="0"/>
                <w:sz w:val="21"/>
                <w:szCs w:val="21"/>
              </w:rPr>
            </w:pPr>
          </w:p>
        </w:tc>
        <w:tc>
          <w:tcPr>
            <w:tcW w:w="503" w:type="pct"/>
            <w:shd w:val="clear" w:color="000000" w:fill="FFFFFF"/>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年度现场评价与总结</w:t>
            </w:r>
          </w:p>
        </w:tc>
        <w:tc>
          <w:tcPr>
            <w:tcW w:w="2918" w:type="pct"/>
            <w:shd w:val="clear" w:color="000000" w:fill="FFFFFF"/>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（1）开展现场核查；</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（2）提供现场检查、人员访谈、资料核验等支持；</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（3）整改核查发现问题；</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（4）针对评审组提出的不符合项，制定整改措施并闭环；</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（5）召开年度标准化工作总结会；</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（6）总结年度成果，部署下一年度工作计划；</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（7）开展标准化运行示范项目部推荐及建议文件。</w:t>
            </w:r>
          </w:p>
        </w:tc>
        <w:tc>
          <w:tcPr>
            <w:tcW w:w="843" w:type="pct"/>
            <w:shd w:val="clear" w:color="000000" w:fill="FFFFFF"/>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1.获得安全生产标准化二级（高速公路运营）达标证书</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2.《2026年安全生产标准化持续改进计划》1项</w:t>
            </w:r>
          </w:p>
        </w:tc>
      </w:tr>
      <w:bookmarkEnd w:id="13"/>
    </w:tbl>
    <w:p>
      <w:pPr>
        <w:pStyle w:val="37"/>
        <w:spacing w:line="57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2.2服务期限</w:t>
      </w:r>
      <w:bookmarkStart w:id="14" w:name="OLE_LINK8"/>
    </w:p>
    <w:p>
      <w:pPr>
        <w:pStyle w:val="37"/>
        <w:spacing w:line="57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双方合同签订之日起，合同期限为1年</w:t>
      </w:r>
      <w:bookmarkEnd w:id="14"/>
      <w:r>
        <w:rPr>
          <w:rFonts w:hint="eastAsia" w:ascii="仿宋_GB2312" w:hAnsi="仿宋_GB2312" w:eastAsia="仿宋_GB2312" w:cs="仿宋_GB2312"/>
          <w:sz w:val="28"/>
          <w:szCs w:val="28"/>
        </w:rPr>
        <w:t>。</w:t>
      </w:r>
    </w:p>
    <w:p>
      <w:pPr>
        <w:pStyle w:val="37"/>
        <w:spacing w:line="570" w:lineRule="exact"/>
        <w:ind w:firstLine="0" w:firstLineChars="0"/>
        <w:rPr>
          <w:rFonts w:hint="eastAsia" w:ascii="仿宋_GB2312" w:hAnsi="仿宋_GB2312" w:eastAsia="仿宋_GB2312" w:cs="仿宋_GB2312"/>
          <w:b/>
          <w:bCs/>
          <w:sz w:val="28"/>
          <w:szCs w:val="24"/>
        </w:rPr>
      </w:pPr>
      <w:r>
        <w:rPr>
          <w:rFonts w:hint="eastAsia" w:ascii="仿宋_GB2312" w:hAnsi="仿宋_GB2312" w:eastAsia="仿宋_GB2312" w:cs="仿宋_GB2312"/>
          <w:b/>
          <w:bCs/>
          <w:sz w:val="28"/>
          <w:szCs w:val="24"/>
        </w:rPr>
        <w:t>3、比选申请人的资格要求</w:t>
      </w:r>
    </w:p>
    <w:p>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w:t>
      </w:r>
      <w:r>
        <w:rPr>
          <w:rFonts w:hint="eastAsia" w:ascii="仿宋_GB2312" w:hAnsi="仿宋_GB2312" w:eastAsia="仿宋_GB2312" w:cs="仿宋_GB2312"/>
          <w:sz w:val="28"/>
          <w:szCs w:val="28"/>
          <w:lang w:eastAsia="zh-CN"/>
        </w:rPr>
        <w:t>比选申请人</w:t>
      </w:r>
      <w:r>
        <w:rPr>
          <w:rFonts w:hint="eastAsia" w:ascii="仿宋_GB2312" w:hAnsi="仿宋_GB2312" w:eastAsia="仿宋_GB2312" w:cs="仿宋_GB2312"/>
          <w:sz w:val="28"/>
          <w:szCs w:val="28"/>
        </w:rPr>
        <w:t>具备独立法人资格，持有效营业执照、基本账户开户许可证或基本账户信息证明材料。</w:t>
      </w:r>
    </w:p>
    <w:p>
      <w:pPr>
        <w:widowControl/>
        <w:spacing w:line="57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3.2业绩要求：</w:t>
      </w:r>
      <w:bookmarkStart w:id="15" w:name="OLE_LINK13"/>
      <w:r>
        <w:rPr>
          <w:rFonts w:hint="eastAsia" w:ascii="仿宋_GB2312" w:hAnsi="仿宋_GB2312" w:eastAsia="仿宋_GB2312" w:cs="仿宋_GB2312"/>
          <w:sz w:val="28"/>
          <w:szCs w:val="28"/>
        </w:rPr>
        <w:t>近三年（自2022年1月1日起至今，以合同签订时间为准）至少完成过1个安全类技术服务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业绩内容至少包含：</w:t>
      </w:r>
      <w:r>
        <w:rPr>
          <w:rFonts w:hint="eastAsia" w:ascii="仿宋_GB2312" w:hAnsi="仿宋_GB2312" w:eastAsia="仿宋_GB2312" w:cs="仿宋_GB2312"/>
          <w:b w:val="0"/>
          <w:bCs w:val="0"/>
          <w:sz w:val="28"/>
          <w:szCs w:val="28"/>
        </w:rPr>
        <w:t>双重预防机制</w:t>
      </w:r>
      <w:r>
        <w:rPr>
          <w:rFonts w:hint="eastAsia" w:ascii="仿宋_GB2312" w:hAnsi="仿宋_GB2312" w:eastAsia="仿宋_GB2312" w:cs="仿宋_GB2312"/>
          <w:b w:val="0"/>
          <w:bCs w:val="0"/>
          <w:sz w:val="28"/>
          <w:szCs w:val="28"/>
          <w:lang w:val="en-US" w:eastAsia="zh-CN"/>
        </w:rPr>
        <w:t>建设或</w:t>
      </w:r>
      <w:r>
        <w:rPr>
          <w:rFonts w:hint="eastAsia" w:ascii="仿宋_GB2312" w:hAnsi="仿宋_GB2312" w:eastAsia="仿宋_GB2312" w:cs="仿宋_GB2312"/>
          <w:b w:val="0"/>
          <w:bCs w:val="0"/>
          <w:sz w:val="28"/>
          <w:szCs w:val="28"/>
        </w:rPr>
        <w:t>安全生产标准化</w:t>
      </w:r>
      <w:r>
        <w:rPr>
          <w:rFonts w:hint="eastAsia" w:ascii="仿宋_GB2312" w:hAnsi="仿宋_GB2312" w:eastAsia="仿宋_GB2312" w:cs="仿宋_GB2312"/>
          <w:b w:val="0"/>
          <w:bCs w:val="0"/>
          <w:sz w:val="28"/>
          <w:szCs w:val="28"/>
          <w:lang w:val="en-US" w:eastAsia="zh-CN"/>
        </w:rPr>
        <w:t>二级达标创建等类似服务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项目业绩，提供合同影印件（黑白或彩色）作为证明材料</w:t>
      </w:r>
      <w:bookmarkEnd w:id="15"/>
      <w:r>
        <w:rPr>
          <w:rFonts w:hint="eastAsia" w:ascii="仿宋_GB2312" w:hAnsi="仿宋_GB2312" w:eastAsia="仿宋_GB2312" w:cs="仿宋_GB2312"/>
          <w:sz w:val="28"/>
          <w:szCs w:val="28"/>
        </w:rPr>
        <w:t>。</w:t>
      </w:r>
    </w:p>
    <w:p>
      <w:pPr>
        <w:widowControl/>
        <w:spacing w:line="57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3.3项目负责人要求：</w:t>
      </w:r>
      <w:bookmarkStart w:id="16" w:name="OLE_LINK14"/>
      <w:r>
        <w:rPr>
          <w:rFonts w:hint="eastAsia" w:ascii="仿宋_GB2312" w:hAnsi="仿宋_GB2312" w:eastAsia="仿宋_GB2312" w:cs="仿宋_GB2312"/>
          <w:sz w:val="28"/>
          <w:szCs w:val="28"/>
        </w:rPr>
        <w:t>项目负责人（1名），应具有安全类高级及以上技术职称（提供职称证书复印件）</w:t>
      </w:r>
      <w:bookmarkEnd w:id="16"/>
      <w:r>
        <w:rPr>
          <w:rFonts w:hint="eastAsia" w:ascii="仿宋_GB2312" w:hAnsi="仿宋_GB2312" w:eastAsia="仿宋_GB2312" w:cs="仿宋_GB2312"/>
          <w:sz w:val="28"/>
          <w:szCs w:val="28"/>
        </w:rPr>
        <w:t>。</w:t>
      </w:r>
    </w:p>
    <w:p>
      <w:pPr>
        <w:widowControl/>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3.4信誉要求（（1）至（2）项以比选人核查的</w:t>
      </w:r>
      <w:r>
        <w:rPr>
          <w:rFonts w:hint="eastAsia" w:ascii="仿宋_GB2312" w:hAnsi="仿宋_GB2312" w:eastAsia="仿宋_GB2312" w:cs="仿宋_GB2312"/>
          <w:sz w:val="28"/>
          <w:szCs w:val="28"/>
          <w:lang w:val="en-US" w:eastAsia="zh-CN"/>
        </w:rPr>
        <w:t>比选申请</w:t>
      </w:r>
      <w:r>
        <w:rPr>
          <w:rFonts w:hint="eastAsia" w:ascii="仿宋_GB2312" w:hAnsi="仿宋_GB2312" w:eastAsia="仿宋_GB2312" w:cs="仿宋_GB2312"/>
          <w:sz w:val="28"/>
          <w:szCs w:val="28"/>
        </w:rPr>
        <w:t>截止日</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比选申请人信息内容为准）：</w:t>
      </w:r>
    </w:p>
    <w:p>
      <w:pPr>
        <w:widowControl/>
        <w:spacing w:line="570" w:lineRule="exact"/>
        <w:ind w:firstLine="560" w:firstLineChars="200"/>
        <w:jc w:val="left"/>
        <w:rPr>
          <w:rFonts w:hint="eastAsia" w:ascii="仿宋_GB2312" w:hAnsi="仿宋_GB2312" w:eastAsia="仿宋_GB2312" w:cs="仿宋_GB2312"/>
          <w:sz w:val="28"/>
          <w:szCs w:val="28"/>
        </w:rPr>
      </w:pPr>
      <w:bookmarkStart w:id="17" w:name="OLE_LINK15"/>
      <w:r>
        <w:rPr>
          <w:rFonts w:hint="eastAsia" w:ascii="仿宋_GB2312" w:hAnsi="仿宋_GB2312" w:eastAsia="仿宋_GB2312" w:cs="仿宋_GB2312"/>
          <w:sz w:val="28"/>
          <w:szCs w:val="28"/>
        </w:rPr>
        <w:t>（1）截至比选申请文件递交截止时间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对通过“国家企业信用信息公示系统”（http://www.gsxt.gov.cn）中查询为严重违法失信企业的，不得参加比选。</w:t>
      </w:r>
    </w:p>
    <w:p>
      <w:pPr>
        <w:widowControl/>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截至比选申请文件递交截止时间，在“信用中国”网站（www.creditchina.gov.cn）、中国执行信息公开网（https://zxgk.court.gov.cn/shixin/）中查询被列入失信被执行人名单（通过”信用中国“查询”失信被执行人“链接”中国执行信息公开网(https://zxgk.court.gov.cn/shixin/）”的结果），不得参加比选。</w:t>
      </w:r>
    </w:p>
    <w:p>
      <w:pPr>
        <w:widowControl/>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（3）在2022年1月1日至本项目</w:t>
      </w:r>
      <w:r>
        <w:rPr>
          <w:rFonts w:hint="eastAsia" w:ascii="仿宋_GB2312" w:hAnsi="仿宋_GB2312" w:eastAsia="仿宋_GB2312" w:cs="仿宋_GB2312"/>
          <w:sz w:val="28"/>
          <w:szCs w:val="28"/>
          <w:highlight w:val="none"/>
          <w:lang w:eastAsia="zh-CN"/>
        </w:rPr>
        <w:t>比选申请</w:t>
      </w:r>
      <w:r>
        <w:rPr>
          <w:rFonts w:hint="eastAsia" w:ascii="仿宋_GB2312" w:hAnsi="仿宋_GB2312" w:eastAsia="仿宋_GB2312" w:cs="仿宋_GB2312"/>
          <w:sz w:val="28"/>
          <w:szCs w:val="28"/>
        </w:rPr>
        <w:t>截止日期间，比选申请人（单位）、法定代表人、项目负责人被人民法院生效判决或裁定认定为行贿犯罪的（包括行贿罪、单位行贿罪、对单位行贿罪、介绍贿赂罪等），不得参加比选。</w:t>
      </w:r>
    </w:p>
    <w:bookmarkEnd w:id="17"/>
    <w:p>
      <w:pPr>
        <w:pStyle w:val="37"/>
        <w:spacing w:line="57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3.5不接受联合体申请，不允许转包和违法分包。</w:t>
      </w:r>
    </w:p>
    <w:p>
      <w:pPr>
        <w:pStyle w:val="37"/>
        <w:spacing w:line="57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3.6与</w:t>
      </w: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存在利害关系可能影响招标公正性的单位，不得参加</w:t>
      </w:r>
      <w:r>
        <w:rPr>
          <w:rFonts w:hint="eastAsia" w:ascii="仿宋_GB2312" w:hAnsi="仿宋_GB2312" w:eastAsia="仿宋_GB2312" w:cs="仿宋_GB2312"/>
          <w:sz w:val="28"/>
          <w:szCs w:val="28"/>
          <w:lang w:val="en-US" w:eastAsia="zh-CN"/>
        </w:rPr>
        <w:t>比选申请</w:t>
      </w:r>
      <w:r>
        <w:rPr>
          <w:rFonts w:hint="eastAsia" w:ascii="仿宋_GB2312" w:hAnsi="仿宋_GB2312" w:eastAsia="仿宋_GB2312" w:cs="仿宋_GB2312"/>
          <w:sz w:val="28"/>
          <w:szCs w:val="28"/>
        </w:rPr>
        <w:t>。法定代表人为同一人或者存在控股、管理关系的不同单位，不得参加同一标段</w:t>
      </w:r>
      <w:r>
        <w:rPr>
          <w:rFonts w:hint="eastAsia" w:ascii="仿宋_GB2312" w:hAnsi="仿宋_GB2312" w:eastAsia="仿宋_GB2312" w:cs="仿宋_GB2312"/>
          <w:sz w:val="28"/>
          <w:szCs w:val="28"/>
          <w:lang w:val="en-US" w:eastAsia="zh-CN"/>
        </w:rPr>
        <w:t>比选申请</w:t>
      </w:r>
      <w:r>
        <w:rPr>
          <w:rFonts w:hint="eastAsia" w:ascii="仿宋_GB2312" w:hAnsi="仿宋_GB2312" w:eastAsia="仿宋_GB2312" w:cs="仿宋_GB2312"/>
          <w:sz w:val="28"/>
          <w:szCs w:val="28"/>
        </w:rPr>
        <w:t>。否则，相关</w:t>
      </w:r>
      <w:r>
        <w:rPr>
          <w:rFonts w:hint="eastAsia" w:ascii="仿宋_GB2312" w:hAnsi="仿宋_GB2312" w:eastAsia="仿宋_GB2312" w:cs="仿宋_GB2312"/>
          <w:sz w:val="28"/>
          <w:szCs w:val="28"/>
          <w:lang w:val="en-US" w:eastAsia="zh-CN"/>
        </w:rPr>
        <w:t>比选申请</w:t>
      </w:r>
      <w:r>
        <w:rPr>
          <w:rFonts w:hint="eastAsia" w:ascii="仿宋_GB2312" w:hAnsi="仿宋_GB2312" w:eastAsia="仿宋_GB2312" w:cs="仿宋_GB2312"/>
          <w:sz w:val="28"/>
          <w:szCs w:val="28"/>
        </w:rPr>
        <w:t>均无效。</w:t>
      </w:r>
    </w:p>
    <w:p>
      <w:pPr>
        <w:pStyle w:val="37"/>
        <w:spacing w:line="570" w:lineRule="exact"/>
        <w:ind w:firstLine="0" w:firstLineChars="0"/>
        <w:rPr>
          <w:rFonts w:hint="eastAsia" w:ascii="仿宋_GB2312" w:hAnsi="仿宋_GB2312" w:eastAsia="仿宋_GB2312" w:cs="仿宋_GB2312"/>
          <w:b/>
          <w:bCs/>
          <w:sz w:val="28"/>
          <w:szCs w:val="24"/>
        </w:rPr>
      </w:pPr>
      <w:r>
        <w:rPr>
          <w:rFonts w:hint="eastAsia" w:ascii="仿宋_GB2312" w:hAnsi="仿宋_GB2312" w:eastAsia="仿宋_GB2312" w:cs="仿宋_GB2312"/>
          <w:b/>
          <w:bCs/>
          <w:sz w:val="28"/>
          <w:szCs w:val="24"/>
        </w:rPr>
        <w:t>4、评审办法</w:t>
      </w:r>
    </w:p>
    <w:p>
      <w:pPr>
        <w:pStyle w:val="37"/>
        <w:spacing w:line="57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本次比选采用</w:t>
      </w:r>
      <w:r>
        <w:rPr>
          <w:rFonts w:hint="eastAsia" w:ascii="仿宋_GB2312" w:hAnsi="仿宋_GB2312" w:eastAsia="仿宋_GB2312" w:cs="仿宋_GB2312"/>
          <w:sz w:val="28"/>
          <w:szCs w:val="28"/>
          <w:lang w:val="en-US" w:eastAsia="zh-CN"/>
        </w:rPr>
        <w:t>双</w:t>
      </w:r>
      <w:r>
        <w:rPr>
          <w:rFonts w:hint="eastAsia" w:ascii="仿宋_GB2312" w:hAnsi="仿宋_GB2312" w:eastAsia="仿宋_GB2312" w:cs="仿宋_GB2312"/>
          <w:sz w:val="28"/>
          <w:szCs w:val="28"/>
        </w:rPr>
        <w:t>信封形式，评标方法采用综合评分法。</w:t>
      </w:r>
    </w:p>
    <w:p>
      <w:pPr>
        <w:pStyle w:val="37"/>
        <w:spacing w:line="570" w:lineRule="exact"/>
        <w:ind w:firstLine="0" w:firstLineChars="0"/>
        <w:rPr>
          <w:rFonts w:hint="eastAsia" w:ascii="仿宋_GB2312" w:hAnsi="仿宋_GB2312" w:eastAsia="仿宋_GB2312" w:cs="仿宋_GB2312"/>
          <w:b/>
          <w:bCs/>
          <w:sz w:val="28"/>
          <w:szCs w:val="24"/>
        </w:rPr>
      </w:pPr>
      <w:r>
        <w:rPr>
          <w:rFonts w:hint="eastAsia" w:ascii="仿宋_GB2312" w:hAnsi="仿宋_GB2312" w:eastAsia="仿宋_GB2312" w:cs="仿宋_GB2312"/>
          <w:b/>
          <w:bCs/>
          <w:sz w:val="28"/>
          <w:szCs w:val="24"/>
        </w:rPr>
        <w:t>5、比选文件的获取</w:t>
      </w:r>
    </w:p>
    <w:p>
      <w:pPr>
        <w:pStyle w:val="37"/>
        <w:numPr>
          <w:ilvl w:val="255"/>
          <w:numId w:val="0"/>
        </w:num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凡具备上述条件并有意参加本项目的比选申请人，请于</w:t>
      </w:r>
      <w:r>
        <w:rPr>
          <w:rFonts w:hint="eastAsia" w:ascii="仿宋_GB2312" w:hAnsi="仿宋_GB2312" w:eastAsia="仿宋_GB2312" w:cs="仿宋_GB2312"/>
          <w:sz w:val="28"/>
          <w:szCs w:val="28"/>
          <w:u w:val="single"/>
        </w:rPr>
        <w:t>2025年</w:t>
      </w:r>
      <w:r>
        <w:rPr>
          <w:rFonts w:hint="eastAsia" w:ascii="仿宋_GB2312" w:hAnsi="仿宋_GB2312" w:eastAsia="仿宋_GB2312" w:cs="仿宋_GB2312"/>
          <w:sz w:val="28"/>
          <w:szCs w:val="28"/>
          <w:u w:val="single"/>
          <w:lang w:val="en-US" w:eastAsia="zh-CN"/>
        </w:rPr>
        <w:t>10</w:t>
      </w:r>
      <w:r>
        <w:rPr>
          <w:rFonts w:hint="eastAsia" w:ascii="仿宋_GB2312" w:hAnsi="仿宋_GB2312" w:eastAsia="仿宋_GB2312" w:cs="仿宋_GB2312"/>
          <w:sz w:val="28"/>
          <w:szCs w:val="28"/>
          <w:u w:val="single"/>
        </w:rPr>
        <w:t xml:space="preserve">月  </w:t>
      </w:r>
      <w:r>
        <w:rPr>
          <w:rFonts w:hint="eastAsia" w:ascii="仿宋_GB2312" w:hAnsi="仿宋_GB2312" w:eastAsia="仿宋_GB2312" w:cs="仿宋_GB2312"/>
          <w:sz w:val="28"/>
          <w:szCs w:val="28"/>
          <w:u w:val="single"/>
          <w:lang w:val="en-US" w:eastAsia="zh-CN"/>
        </w:rPr>
        <w:t>27</w:t>
      </w:r>
      <w:r>
        <w:rPr>
          <w:rFonts w:hint="eastAsia" w:ascii="仿宋_GB2312" w:hAnsi="仿宋_GB2312" w:eastAsia="仿宋_GB2312" w:cs="仿宋_GB2312"/>
          <w:sz w:val="28"/>
          <w:szCs w:val="28"/>
          <w:u w:val="single"/>
        </w:rPr>
        <w:t>日</w:t>
      </w:r>
      <w:r>
        <w:rPr>
          <w:rFonts w:hint="eastAsia" w:ascii="仿宋_GB2312" w:hAnsi="仿宋_GB2312" w:eastAsia="仿宋_GB2312" w:cs="仿宋_GB2312"/>
          <w:sz w:val="28"/>
          <w:szCs w:val="28"/>
        </w:rPr>
        <w:t>起（北京时间，下同），在四川成渝高速公路股份有限公司公路运营管理一分公司网站（</w:t>
      </w:r>
      <w:r>
        <w:rPr>
          <w:rFonts w:ascii="仿宋_GB2312" w:hAnsi="仿宋_GB2312" w:eastAsia="仿宋_GB2312" w:cs="仿宋_GB2312"/>
          <w:sz w:val="28"/>
          <w:szCs w:val="28"/>
        </w:rPr>
        <w:t>https://www.sccygs.com/</w:t>
      </w:r>
      <w:r>
        <w:rPr>
          <w:rFonts w:hint="eastAsia" w:ascii="仿宋_GB2312" w:hAnsi="仿宋_GB2312" w:eastAsia="仿宋_GB2312" w:cs="仿宋_GB2312"/>
          <w:sz w:val="28"/>
          <w:szCs w:val="28"/>
        </w:rPr>
        <w:t>）上免费下载比选文件电子文件。比选人不提供其他任何报名和文件获取的方式。</w:t>
      </w:r>
    </w:p>
    <w:p>
      <w:pPr>
        <w:pStyle w:val="37"/>
        <w:numPr>
          <w:ilvl w:val="255"/>
          <w:numId w:val="0"/>
        </w:numPr>
        <w:spacing w:line="570" w:lineRule="exact"/>
        <w:rPr>
          <w:rFonts w:hint="eastAsia" w:ascii="仿宋_GB2312" w:hAnsi="仿宋_GB2312" w:eastAsia="仿宋_GB2312" w:cs="仿宋_GB2312"/>
          <w:b/>
          <w:bCs/>
          <w:sz w:val="28"/>
          <w:szCs w:val="24"/>
        </w:rPr>
      </w:pPr>
      <w:r>
        <w:rPr>
          <w:rFonts w:hint="eastAsia" w:ascii="仿宋_GB2312" w:hAnsi="仿宋_GB2312" w:eastAsia="仿宋_GB2312" w:cs="仿宋_GB2312"/>
          <w:b/>
          <w:bCs/>
          <w:sz w:val="28"/>
          <w:szCs w:val="24"/>
        </w:rPr>
        <w:t>6、比选申请文件的递交</w:t>
      </w:r>
    </w:p>
    <w:p>
      <w:pPr>
        <w:spacing w:line="57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w:t>
      </w:r>
      <w:r>
        <w:rPr>
          <w:rFonts w:ascii="仿宋_GB2312" w:hAnsi="仿宋_GB2312" w:eastAsia="仿宋_GB2312" w:cs="仿宋_GB2312"/>
          <w:sz w:val="28"/>
          <w:szCs w:val="24"/>
        </w:rPr>
        <w:t>1</w:t>
      </w:r>
      <w:r>
        <w:rPr>
          <w:rFonts w:hint="eastAsia" w:ascii="仿宋_GB2312" w:hAnsi="仿宋_GB2312" w:eastAsia="仿宋_GB2312" w:cs="仿宋_GB2312"/>
          <w:sz w:val="28"/>
          <w:szCs w:val="24"/>
        </w:rPr>
        <w:t>比选文件递交的时间：</w:t>
      </w:r>
      <w:r>
        <w:rPr>
          <w:rFonts w:hint="eastAsia" w:ascii="仿宋_GB2312" w:hAnsi="仿宋_GB2312" w:eastAsia="仿宋_GB2312" w:cs="仿宋_GB2312"/>
          <w:sz w:val="28"/>
          <w:szCs w:val="24"/>
          <w:u w:val="single"/>
        </w:rPr>
        <w:t>202</w:t>
      </w:r>
      <w:r>
        <w:rPr>
          <w:rFonts w:ascii="仿宋_GB2312" w:hAnsi="仿宋_GB2312" w:eastAsia="仿宋_GB2312" w:cs="仿宋_GB2312"/>
          <w:sz w:val="28"/>
          <w:szCs w:val="24"/>
          <w:u w:val="single"/>
        </w:rPr>
        <w:t>5</w:t>
      </w:r>
      <w:r>
        <w:rPr>
          <w:rFonts w:hint="eastAsia" w:ascii="仿宋_GB2312" w:hAnsi="仿宋_GB2312" w:eastAsia="仿宋_GB2312" w:cs="仿宋_GB2312"/>
          <w:sz w:val="28"/>
          <w:szCs w:val="24"/>
          <w:u w:val="single"/>
        </w:rPr>
        <w:t xml:space="preserve">年 </w:t>
      </w:r>
      <w:r>
        <w:rPr>
          <w:rFonts w:hint="eastAsia" w:ascii="仿宋_GB2312" w:hAnsi="仿宋_GB2312" w:eastAsia="仿宋_GB2312" w:cs="仿宋_GB2312"/>
          <w:sz w:val="28"/>
          <w:szCs w:val="24"/>
          <w:u w:val="single"/>
          <w:lang w:val="en-US" w:eastAsia="zh-CN"/>
        </w:rPr>
        <w:t>10</w:t>
      </w:r>
      <w:r>
        <w:rPr>
          <w:rFonts w:hint="eastAsia" w:ascii="仿宋_GB2312" w:hAnsi="仿宋_GB2312" w:eastAsia="仿宋_GB2312" w:cs="仿宋_GB2312"/>
          <w:sz w:val="28"/>
          <w:szCs w:val="24"/>
          <w:u w:val="single"/>
        </w:rPr>
        <w:t xml:space="preserve"> 月 </w:t>
      </w:r>
      <w:r>
        <w:rPr>
          <w:rFonts w:hint="eastAsia" w:ascii="仿宋_GB2312" w:hAnsi="仿宋_GB2312" w:eastAsia="仿宋_GB2312" w:cs="仿宋_GB2312"/>
          <w:sz w:val="28"/>
          <w:szCs w:val="24"/>
          <w:u w:val="single"/>
          <w:lang w:val="en-US" w:eastAsia="zh-CN"/>
        </w:rPr>
        <w:t>31</w:t>
      </w:r>
      <w:r>
        <w:rPr>
          <w:rFonts w:hint="eastAsia" w:ascii="仿宋_GB2312" w:hAnsi="仿宋_GB2312" w:eastAsia="仿宋_GB2312" w:cs="仿宋_GB2312"/>
          <w:sz w:val="28"/>
          <w:szCs w:val="24"/>
          <w:u w:val="single"/>
        </w:rPr>
        <w:t xml:space="preserve"> 日</w:t>
      </w:r>
      <w:r>
        <w:rPr>
          <w:rFonts w:hint="eastAsia" w:ascii="仿宋_GB2312" w:hAnsi="仿宋_GB2312" w:eastAsia="仿宋_GB2312" w:cs="仿宋_GB2312"/>
          <w:sz w:val="28"/>
          <w:szCs w:val="24"/>
        </w:rPr>
        <w:t>上午9:30-10：00时（北京时间）。截止时间为</w:t>
      </w:r>
      <w:r>
        <w:rPr>
          <w:rFonts w:hint="eastAsia" w:ascii="仿宋_GB2312" w:hAnsi="仿宋_GB2312" w:eastAsia="仿宋_GB2312" w:cs="仿宋_GB2312"/>
          <w:sz w:val="28"/>
          <w:szCs w:val="24"/>
          <w:u w:val="single"/>
        </w:rPr>
        <w:t xml:space="preserve">2025年 </w:t>
      </w:r>
      <w:r>
        <w:rPr>
          <w:rFonts w:hint="eastAsia" w:ascii="仿宋_GB2312" w:hAnsi="仿宋_GB2312" w:eastAsia="仿宋_GB2312" w:cs="仿宋_GB2312"/>
          <w:sz w:val="28"/>
          <w:szCs w:val="24"/>
          <w:u w:val="single"/>
          <w:lang w:val="en-US" w:eastAsia="zh-CN"/>
        </w:rPr>
        <w:t>10</w:t>
      </w:r>
      <w:r>
        <w:rPr>
          <w:rFonts w:hint="eastAsia" w:ascii="仿宋_GB2312" w:hAnsi="仿宋_GB2312" w:eastAsia="仿宋_GB2312" w:cs="仿宋_GB2312"/>
          <w:sz w:val="28"/>
          <w:szCs w:val="24"/>
          <w:u w:val="single"/>
        </w:rPr>
        <w:t xml:space="preserve"> 月 </w:t>
      </w:r>
      <w:r>
        <w:rPr>
          <w:rFonts w:hint="eastAsia" w:ascii="仿宋_GB2312" w:hAnsi="仿宋_GB2312" w:eastAsia="仿宋_GB2312" w:cs="仿宋_GB2312"/>
          <w:sz w:val="28"/>
          <w:szCs w:val="24"/>
          <w:u w:val="single"/>
          <w:lang w:val="en-US" w:eastAsia="zh-CN"/>
        </w:rPr>
        <w:t>31</w:t>
      </w:r>
      <w:bookmarkStart w:id="81" w:name="_GoBack"/>
      <w:bookmarkEnd w:id="81"/>
      <w:r>
        <w:rPr>
          <w:rFonts w:hint="eastAsia" w:ascii="仿宋_GB2312" w:hAnsi="仿宋_GB2312" w:eastAsia="仿宋_GB2312" w:cs="仿宋_GB2312"/>
          <w:sz w:val="28"/>
          <w:szCs w:val="24"/>
          <w:u w:val="single"/>
        </w:rPr>
        <w:t xml:space="preserve"> 日</w:t>
      </w:r>
      <w:r>
        <w:rPr>
          <w:rFonts w:hint="eastAsia" w:ascii="仿宋_GB2312" w:hAnsi="仿宋_GB2312" w:eastAsia="仿宋_GB2312" w:cs="仿宋_GB2312"/>
          <w:sz w:val="28"/>
          <w:szCs w:val="24"/>
        </w:rPr>
        <w:t>上午10:00时(北京时间)</w:t>
      </w:r>
      <w:r>
        <w:rPr>
          <w:rFonts w:hint="eastAsia" w:ascii="仿宋_GB2312" w:hAnsi="仿宋_GB2312" w:eastAsia="仿宋_GB2312" w:cs="仿宋_GB2312"/>
          <w:sz w:val="28"/>
          <w:szCs w:val="28"/>
        </w:rPr>
        <w:t>。</w:t>
      </w:r>
    </w:p>
    <w:p>
      <w:pPr>
        <w:spacing w:line="57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6.2比选文件递交的地点：</w:t>
      </w:r>
      <w:r>
        <w:rPr>
          <w:rFonts w:hint="eastAsia" w:ascii="仿宋_GB2312" w:hAnsi="仿宋_GB2312" w:eastAsia="仿宋_GB2312" w:cs="仿宋_GB2312"/>
          <w:sz w:val="28"/>
          <w:szCs w:val="24"/>
          <w:u w:val="single"/>
        </w:rPr>
        <w:t>四川省成都市成华区迎晖路8号（四川成渝高速公路股份有限公司公路运营管理一分公司）</w:t>
      </w:r>
      <w:r>
        <w:rPr>
          <w:rFonts w:hint="eastAsia" w:ascii="仿宋_GB2312" w:hAnsi="仿宋_GB2312" w:eastAsia="仿宋_GB2312" w:cs="仿宋_GB2312"/>
          <w:sz w:val="28"/>
          <w:szCs w:val="24"/>
          <w:u w:val="single"/>
          <w:lang w:val="en-US" w:eastAsia="zh-CN"/>
        </w:rPr>
        <w:t>3</w:t>
      </w:r>
      <w:r>
        <w:rPr>
          <w:rFonts w:hint="eastAsia" w:ascii="仿宋_GB2312" w:hAnsi="仿宋_GB2312" w:eastAsia="仿宋_GB2312" w:cs="仿宋_GB2312"/>
          <w:sz w:val="28"/>
          <w:szCs w:val="24"/>
          <w:u w:val="single"/>
        </w:rPr>
        <w:t>楼会议室</w:t>
      </w:r>
    </w:p>
    <w:p>
      <w:pPr>
        <w:spacing w:line="57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6.3比选申请人必须将按要求密封完好的比选申请文件以面交方式送达，比选人定于比选申请文件送交截止时间的同一时间、同一地点举行公开启封，比选申请人应派代表出席并签认开标结果。</w:t>
      </w:r>
    </w:p>
    <w:p>
      <w:pPr>
        <w:spacing w:line="57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6.4逾期送达的或者未送达指定地点的比选申请文件，比选人不予受理。</w:t>
      </w:r>
    </w:p>
    <w:p>
      <w:pPr>
        <w:spacing w:line="57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6.5比选申请文件概不退还。</w:t>
      </w:r>
    </w:p>
    <w:p>
      <w:pPr>
        <w:spacing w:line="570" w:lineRule="exact"/>
        <w:rPr>
          <w:rFonts w:hint="eastAsia" w:ascii="仿宋_GB2312" w:hAnsi="仿宋_GB2312" w:eastAsia="仿宋_GB2312" w:cs="仿宋_GB2312"/>
          <w:b/>
          <w:bCs/>
          <w:sz w:val="28"/>
          <w:szCs w:val="24"/>
        </w:rPr>
      </w:pPr>
      <w:r>
        <w:rPr>
          <w:rFonts w:hint="eastAsia" w:ascii="仿宋_GB2312" w:hAnsi="仿宋_GB2312" w:eastAsia="仿宋_GB2312" w:cs="仿宋_GB2312"/>
          <w:b/>
          <w:bCs/>
          <w:sz w:val="28"/>
          <w:szCs w:val="24"/>
        </w:rPr>
        <w:t>7、发布公告的媒介</w:t>
      </w:r>
    </w:p>
    <w:p>
      <w:pPr>
        <w:spacing w:line="57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本次比选公告在四川成渝高速公路股份有限公司公路运营管理一分公司网站（</w:t>
      </w:r>
      <w:r>
        <w:rPr>
          <w:rFonts w:ascii="仿宋_GB2312" w:hAnsi="仿宋_GB2312" w:eastAsia="仿宋_GB2312" w:cs="仿宋_GB2312"/>
          <w:sz w:val="28"/>
          <w:szCs w:val="24"/>
        </w:rPr>
        <w:t>https://www.sccygs.com/</w:t>
      </w:r>
      <w:r>
        <w:rPr>
          <w:rFonts w:hint="eastAsia" w:ascii="仿宋_GB2312" w:hAnsi="仿宋_GB2312" w:eastAsia="仿宋_GB2312" w:cs="仿宋_GB2312"/>
          <w:sz w:val="28"/>
          <w:szCs w:val="24"/>
        </w:rPr>
        <w:t>）上发布。</w:t>
      </w:r>
    </w:p>
    <w:p>
      <w:pPr>
        <w:spacing w:line="570" w:lineRule="exact"/>
        <w:rPr>
          <w:rFonts w:hint="eastAsia" w:ascii="仿宋_GB2312" w:hAnsi="仿宋_GB2312" w:eastAsia="仿宋_GB2312" w:cs="仿宋_GB2312"/>
          <w:b/>
          <w:bCs/>
          <w:sz w:val="28"/>
          <w:szCs w:val="24"/>
        </w:rPr>
      </w:pPr>
      <w:r>
        <w:rPr>
          <w:rFonts w:hint="eastAsia" w:ascii="仿宋_GB2312" w:hAnsi="仿宋_GB2312" w:eastAsia="仿宋_GB2312" w:cs="仿宋_GB2312"/>
          <w:b/>
          <w:bCs/>
          <w:sz w:val="28"/>
          <w:szCs w:val="24"/>
        </w:rPr>
        <w:t>8、比选保证金</w:t>
      </w:r>
    </w:p>
    <w:p>
      <w:pPr>
        <w:spacing w:line="57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本次比选不设置比选申请保证金。</w:t>
      </w:r>
    </w:p>
    <w:p>
      <w:pPr>
        <w:spacing w:line="570" w:lineRule="exact"/>
        <w:rPr>
          <w:rFonts w:hint="eastAsia" w:ascii="仿宋_GB2312" w:hAnsi="仿宋_GB2312" w:eastAsia="仿宋_GB2312" w:cs="仿宋_GB2312"/>
          <w:b/>
          <w:bCs/>
          <w:sz w:val="28"/>
          <w:szCs w:val="24"/>
        </w:rPr>
      </w:pPr>
      <w:r>
        <w:rPr>
          <w:rFonts w:hint="eastAsia" w:ascii="仿宋_GB2312" w:hAnsi="仿宋_GB2312" w:eastAsia="仿宋_GB2312" w:cs="仿宋_GB2312"/>
          <w:b/>
          <w:bCs/>
          <w:sz w:val="28"/>
          <w:szCs w:val="24"/>
        </w:rPr>
        <w:t>9、</w:t>
      </w:r>
      <w:r>
        <w:rPr>
          <w:rFonts w:hint="eastAsia" w:ascii="仿宋_GB2312" w:hAnsi="仿宋_GB2312" w:eastAsia="仿宋_GB2312" w:cs="仿宋_GB2312"/>
          <w:b/>
          <w:bCs/>
          <w:sz w:val="28"/>
          <w:szCs w:val="24"/>
          <w:lang w:val="en-US" w:eastAsia="zh-CN"/>
        </w:rPr>
        <w:t>评审</w:t>
      </w:r>
      <w:r>
        <w:rPr>
          <w:rFonts w:hint="eastAsia" w:ascii="仿宋_GB2312" w:hAnsi="仿宋_GB2312" w:eastAsia="仿宋_GB2312" w:cs="仿宋_GB2312"/>
          <w:b/>
          <w:bCs/>
          <w:sz w:val="28"/>
          <w:szCs w:val="24"/>
        </w:rPr>
        <w:t>结果公示</w:t>
      </w:r>
    </w:p>
    <w:p>
      <w:pPr>
        <w:spacing w:line="57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比选人在收到评审报告之日起3日内，将</w:t>
      </w:r>
      <w:r>
        <w:rPr>
          <w:rFonts w:hint="eastAsia" w:ascii="仿宋_GB2312" w:hAnsi="仿宋_GB2312" w:eastAsia="仿宋_GB2312" w:cs="仿宋_GB2312"/>
          <w:sz w:val="28"/>
          <w:szCs w:val="24"/>
          <w:lang w:val="en-US" w:eastAsia="zh-CN"/>
        </w:rPr>
        <w:t>评审</w:t>
      </w:r>
      <w:r>
        <w:rPr>
          <w:rFonts w:hint="eastAsia" w:ascii="仿宋_GB2312" w:hAnsi="仿宋_GB2312" w:eastAsia="仿宋_GB2312" w:cs="仿宋_GB2312"/>
          <w:sz w:val="28"/>
          <w:szCs w:val="24"/>
        </w:rPr>
        <w:t>结果即评审委员会推荐的中选候选人名单在四川成渝高速公路股份有限公司公路运营管理一分公司网站（</w:t>
      </w:r>
      <w:r>
        <w:rPr>
          <w:rFonts w:ascii="仿宋_GB2312" w:hAnsi="仿宋_GB2312" w:eastAsia="仿宋_GB2312" w:cs="仿宋_GB2312"/>
          <w:sz w:val="28"/>
          <w:szCs w:val="24"/>
        </w:rPr>
        <w:t>https://www.sccygs.com/</w:t>
      </w:r>
      <w:r>
        <w:rPr>
          <w:rFonts w:hint="eastAsia" w:ascii="仿宋_GB2312" w:hAnsi="仿宋_GB2312" w:eastAsia="仿宋_GB2312" w:cs="仿宋_GB2312"/>
          <w:sz w:val="28"/>
          <w:szCs w:val="24"/>
        </w:rPr>
        <w:t>）上公示3个工作日以接受社会公开监督。比选申请人或其他利害关系人对评审结果有异议的，应当在中选候选人公示期间提出。</w:t>
      </w:r>
    </w:p>
    <w:p>
      <w:pPr>
        <w:spacing w:line="570" w:lineRule="exact"/>
        <w:rPr>
          <w:rFonts w:hint="eastAsia" w:ascii="仿宋_GB2312" w:hAnsi="仿宋_GB2312" w:eastAsia="仿宋_GB2312" w:cs="仿宋_GB2312"/>
          <w:b/>
          <w:bCs/>
          <w:sz w:val="28"/>
          <w:szCs w:val="24"/>
        </w:rPr>
      </w:pPr>
      <w:r>
        <w:rPr>
          <w:rFonts w:hint="eastAsia" w:ascii="仿宋_GB2312" w:hAnsi="仿宋_GB2312" w:eastAsia="仿宋_GB2312" w:cs="仿宋_GB2312"/>
          <w:b/>
          <w:bCs/>
          <w:sz w:val="28"/>
          <w:szCs w:val="24"/>
        </w:rPr>
        <w:t>10、联系方式</w:t>
      </w:r>
    </w:p>
    <w:p>
      <w:pPr>
        <w:spacing w:line="57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比 选 人：四川成渝高速公路股份有限公司公路运营管理一分公司</w:t>
      </w:r>
    </w:p>
    <w:p>
      <w:pPr>
        <w:spacing w:line="57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地    址：四川省成都市成华区迎晖路8号</w:t>
      </w:r>
    </w:p>
    <w:p>
      <w:pPr>
        <w:spacing w:line="57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邮政编码：610058(成都)</w:t>
      </w:r>
    </w:p>
    <w:p>
      <w:pPr>
        <w:spacing w:line="570" w:lineRule="exact"/>
        <w:ind w:firstLine="560" w:firstLineChars="200"/>
        <w:rPr>
          <w:rFonts w:hint="default" w:ascii="仿宋_GB2312" w:hAnsi="仿宋_GB2312" w:eastAsia="仿宋_GB2312" w:cs="仿宋_GB2312"/>
          <w:sz w:val="28"/>
          <w:szCs w:val="24"/>
          <w:lang w:val="en-US" w:eastAsia="zh-CN"/>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lang w:val="en-US" w:eastAsia="zh-CN"/>
        </w:rPr>
        <w:t>18880417789</w:t>
      </w:r>
    </w:p>
    <w:p>
      <w:pPr>
        <w:spacing w:line="570" w:lineRule="exact"/>
        <w:ind w:firstLine="560" w:firstLineChars="200"/>
        <w:rPr>
          <w:rFonts w:hint="eastAsia" w:ascii="仿宋_GB2312" w:hAnsi="仿宋_GB2312" w:eastAsia="仿宋_GB2312" w:cs="仿宋_GB2312"/>
          <w:sz w:val="28"/>
          <w:szCs w:val="24"/>
          <w:lang w:val="en-US" w:eastAsia="zh-CN"/>
        </w:rPr>
      </w:pPr>
      <w:r>
        <w:rPr>
          <w:rFonts w:hint="eastAsia" w:ascii="仿宋_GB2312" w:hAnsi="仿宋_GB2312" w:eastAsia="仿宋_GB2312" w:cs="仿宋_GB2312"/>
          <w:sz w:val="28"/>
          <w:szCs w:val="24"/>
        </w:rPr>
        <w:t xml:space="preserve">联 系 人： </w:t>
      </w:r>
      <w:r>
        <w:rPr>
          <w:rFonts w:hint="eastAsia" w:ascii="仿宋_GB2312" w:hAnsi="仿宋_GB2312" w:eastAsia="仿宋_GB2312" w:cs="仿宋_GB2312"/>
          <w:sz w:val="28"/>
          <w:szCs w:val="24"/>
          <w:lang w:val="en-US" w:eastAsia="zh-CN"/>
        </w:rPr>
        <w:t>李先生</w:t>
      </w:r>
    </w:p>
    <w:p>
      <w:pPr>
        <w:pStyle w:val="37"/>
        <w:numPr>
          <w:ilvl w:val="255"/>
          <w:numId w:val="0"/>
        </w:numPr>
        <w:spacing w:line="570" w:lineRule="exact"/>
        <w:rPr>
          <w:rFonts w:hint="eastAsia" w:ascii="仿宋_GB2312" w:hAnsi="仿宋_GB2312" w:eastAsia="仿宋_GB2312" w:cs="仿宋_GB2312"/>
          <w:sz w:val="28"/>
          <w:szCs w:val="24"/>
        </w:rPr>
      </w:pPr>
    </w:p>
    <w:p>
      <w:pPr>
        <w:spacing w:line="570" w:lineRule="exact"/>
        <w:ind w:firstLine="560" w:firstLineChars="200"/>
        <w:rPr>
          <w:rFonts w:hint="eastAsia" w:ascii="仿宋_GB2312" w:hAnsi="仿宋_GB2312" w:eastAsia="仿宋_GB2312" w:cs="仿宋_GB2312"/>
          <w:sz w:val="28"/>
          <w:szCs w:val="24"/>
          <w:lang w:val="zh-CN"/>
        </w:rPr>
      </w:pPr>
      <w:r>
        <w:rPr>
          <w:rFonts w:hint="eastAsia" w:ascii="仿宋_GB2312" w:hAnsi="仿宋_GB2312" w:eastAsia="仿宋_GB2312" w:cs="仿宋_GB2312"/>
          <w:sz w:val="28"/>
          <w:szCs w:val="28"/>
        </w:rPr>
        <w:t xml:space="preserve">     </w:t>
      </w:r>
      <w:bookmarkStart w:id="18" w:name="_Toc800"/>
      <w:bookmarkStart w:id="19" w:name="_Toc18961"/>
      <w:bookmarkStart w:id="20" w:name="_Toc22982"/>
      <w:bookmarkStart w:id="21" w:name="_Toc24990"/>
      <w:bookmarkStart w:id="22" w:name="_Toc639"/>
      <w:bookmarkStart w:id="23" w:name="_Toc31651"/>
      <w:bookmarkStart w:id="24" w:name="_Toc30488"/>
      <w:bookmarkStart w:id="25" w:name="_Toc14293"/>
      <w:bookmarkStart w:id="26" w:name="_Toc22546"/>
      <w:r>
        <w:rPr>
          <w:rFonts w:hint="eastAsia" w:ascii="仿宋_GB2312" w:hAnsi="仿宋_GB2312" w:eastAsia="仿宋_GB2312" w:cs="仿宋_GB2312"/>
          <w:sz w:val="28"/>
          <w:szCs w:val="24"/>
          <w:lang w:val="zh-CN"/>
        </w:rPr>
        <w:t>比选人：</w:t>
      </w:r>
      <w:r>
        <w:rPr>
          <w:rFonts w:hint="eastAsia" w:ascii="仿宋_GB2312" w:hAnsi="仿宋_GB2312" w:eastAsia="仿宋_GB2312" w:cs="仿宋_GB2312"/>
          <w:sz w:val="28"/>
          <w:szCs w:val="24"/>
        </w:rPr>
        <w:t>四川成渝高速公路股份有限公司公路运营管理一分公司</w:t>
      </w:r>
    </w:p>
    <w:p>
      <w:pPr>
        <w:spacing w:line="57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 xml:space="preserve">                               2025年</w:t>
      </w:r>
      <w:r>
        <w:rPr>
          <w:rFonts w:hint="eastAsia" w:ascii="仿宋_GB2312" w:hAnsi="仿宋_GB2312" w:eastAsia="仿宋_GB2312" w:cs="仿宋_GB2312"/>
          <w:sz w:val="28"/>
          <w:szCs w:val="24"/>
          <w:lang w:val="en-US" w:eastAsia="zh-CN"/>
        </w:rPr>
        <w:t>10</w:t>
      </w:r>
      <w:r>
        <w:rPr>
          <w:rFonts w:hint="eastAsia" w:ascii="仿宋_GB2312" w:hAnsi="仿宋_GB2312" w:eastAsia="仿宋_GB2312" w:cs="仿宋_GB2312"/>
          <w:sz w:val="28"/>
          <w:szCs w:val="24"/>
        </w:rPr>
        <w:t xml:space="preserve">月 </w:t>
      </w:r>
      <w:r>
        <w:rPr>
          <w:rFonts w:hint="eastAsia" w:ascii="仿宋_GB2312" w:hAnsi="仿宋_GB2312" w:eastAsia="仿宋_GB2312" w:cs="仿宋_GB2312"/>
          <w:sz w:val="28"/>
          <w:szCs w:val="24"/>
          <w:lang w:val="en-US" w:eastAsia="zh-CN"/>
        </w:rPr>
        <w:t>24</w:t>
      </w:r>
      <w:r>
        <w:rPr>
          <w:rFonts w:hint="eastAsia" w:ascii="仿宋_GB2312" w:hAnsi="仿宋_GB2312" w:eastAsia="仿宋_GB2312" w:cs="仿宋_GB2312"/>
          <w:sz w:val="28"/>
          <w:szCs w:val="24"/>
        </w:rPr>
        <w:t xml:space="preserve"> 日</w:t>
      </w:r>
    </w:p>
    <w:p>
      <w:pPr>
        <w:rPr>
          <w:sz w:val="36"/>
          <w:szCs w:val="36"/>
        </w:rPr>
      </w:pPr>
    </w:p>
    <w:p>
      <w:pPr>
        <w:jc w:val="center"/>
        <w:outlineLvl w:val="9"/>
        <w:rPr>
          <w:rFonts w:hint="eastAsia" w:ascii="仿宋" w:hAnsi="仿宋" w:eastAsia="仿宋" w:cs="仿宋"/>
        </w:rPr>
      </w:pPr>
    </w:p>
    <w:p>
      <w:pPr>
        <w:jc w:val="center"/>
        <w:outlineLvl w:val="9"/>
        <w:rPr>
          <w:rFonts w:hint="eastAsia" w:ascii="仿宋" w:hAnsi="仿宋" w:eastAsia="仿宋" w:cs="仿宋"/>
        </w:rPr>
      </w:pPr>
    </w:p>
    <w:p>
      <w:pPr>
        <w:jc w:val="center"/>
        <w:outlineLvl w:val="9"/>
        <w:rPr>
          <w:rFonts w:hint="eastAsia" w:ascii="仿宋" w:hAnsi="仿宋" w:eastAsia="仿宋" w:cs="仿宋"/>
        </w:rPr>
      </w:pPr>
    </w:p>
    <w:p>
      <w:pPr>
        <w:pStyle w:val="5"/>
        <w:jc w:val="center"/>
        <w:rPr>
          <w:rFonts w:hint="eastAsia" w:ascii="仿宋" w:hAnsi="仿宋" w:eastAsia="仿宋" w:cs="仿宋"/>
        </w:rPr>
      </w:pPr>
      <w:bookmarkStart w:id="27" w:name="_Toc4625"/>
      <w:r>
        <w:rPr>
          <w:rFonts w:hint="eastAsia" w:ascii="仿宋" w:hAnsi="仿宋" w:eastAsia="仿宋" w:cs="仿宋"/>
        </w:rPr>
        <w:t>第二篇  比选申请人须知</w:t>
      </w:r>
      <w:bookmarkEnd w:id="27"/>
    </w:p>
    <w:p>
      <w:pPr>
        <w:pStyle w:val="5"/>
        <w:jc w:val="center"/>
        <w:rPr>
          <w:rFonts w:hint="eastAsia" w:ascii="仿宋" w:hAnsi="仿宋" w:eastAsia="仿宋" w:cs="仿宋"/>
        </w:rPr>
        <w:sectPr>
          <w:pgSz w:w="11911" w:h="16838"/>
          <w:pgMar w:top="1474" w:right="1474" w:bottom="1474" w:left="1474" w:header="799" w:footer="918" w:gutter="0"/>
          <w:pgNumType w:fmt="decimal"/>
          <w:cols w:space="0" w:num="1"/>
        </w:sectPr>
      </w:pPr>
    </w:p>
    <w:p>
      <w:pPr>
        <w:jc w:val="center"/>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比选申请人须知前附表</w:t>
      </w:r>
    </w:p>
    <w:p>
      <w:pPr>
        <w:spacing w:line="360" w:lineRule="auto"/>
        <w:ind w:firstLine="420" w:firstLineChars="200"/>
        <w:rPr>
          <w:rFonts w:hint="eastAsia" w:ascii="仿宋_GB2312" w:hAnsi="仿宋_GB2312" w:eastAsia="仿宋_GB2312" w:cs="仿宋_GB2312"/>
        </w:rPr>
      </w:pPr>
    </w:p>
    <w:p>
      <w:pPr>
        <w:spacing w:line="360" w:lineRule="auto"/>
        <w:ind w:firstLine="420" w:firstLineChars="200"/>
        <w:rPr>
          <w:rFonts w:hint="eastAsia" w:ascii="仿宋_GB2312" w:hAnsi="仿宋_GB2312" w:eastAsia="仿宋_GB2312" w:cs="仿宋_GB2312"/>
        </w:rPr>
      </w:pPr>
      <w:r>
        <w:rPr>
          <w:rFonts w:hint="eastAsia" w:ascii="仿宋_GB2312" w:hAnsi="仿宋_GB2312" w:eastAsia="仿宋_GB2312" w:cs="仿宋_GB2312"/>
        </w:rPr>
        <w:t>《比选申请人须知前附表》是用于进一步明确《比选申请人须知》正文中的未尽事宜，由比选人根据本项目具体特点和实际需要编制和填写，与《比选申请人须知》正文无抵触且与比选文件其他章节相衔接。前附表内容与本须知不一致的，以前附表内容为准。“比选申请人须知前附表”中的附录表格同属“比选申请人须知前附表”内容，具有同等效力。</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84"/>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59" w:type="dxa"/>
            <w:vAlign w:val="center"/>
          </w:tcPr>
          <w:p>
            <w:pPr>
              <w:pStyle w:val="18"/>
              <w:spacing w:line="360" w:lineRule="exact"/>
              <w:jc w:val="center"/>
              <w:rPr>
                <w:rFonts w:hint="eastAsia" w:ascii="宋体" w:hAnsi="宋体" w:eastAsia="宋体" w:cs="宋体"/>
                <w:b/>
              </w:rPr>
            </w:pPr>
            <w:r>
              <w:rPr>
                <w:rFonts w:hint="eastAsia" w:ascii="宋体" w:hAnsi="宋体" w:eastAsia="宋体" w:cs="宋体"/>
                <w:b/>
              </w:rPr>
              <w:t>条款号</w:t>
            </w:r>
          </w:p>
        </w:tc>
        <w:tc>
          <w:tcPr>
            <w:tcW w:w="1984" w:type="dxa"/>
            <w:vAlign w:val="center"/>
          </w:tcPr>
          <w:p>
            <w:pPr>
              <w:pStyle w:val="18"/>
              <w:spacing w:line="360" w:lineRule="exact"/>
              <w:jc w:val="center"/>
              <w:rPr>
                <w:rFonts w:hint="eastAsia" w:ascii="宋体" w:hAnsi="宋体" w:eastAsia="宋体" w:cs="宋体"/>
                <w:b/>
              </w:rPr>
            </w:pPr>
            <w:r>
              <w:rPr>
                <w:rFonts w:hint="eastAsia" w:ascii="宋体" w:hAnsi="宋体" w:eastAsia="宋体" w:cs="宋体"/>
                <w:b/>
              </w:rPr>
              <w:t>条款名称</w:t>
            </w:r>
          </w:p>
        </w:tc>
        <w:tc>
          <w:tcPr>
            <w:tcW w:w="6237" w:type="dxa"/>
            <w:vAlign w:val="center"/>
          </w:tcPr>
          <w:p>
            <w:pPr>
              <w:pStyle w:val="18"/>
              <w:spacing w:line="360" w:lineRule="exact"/>
              <w:jc w:val="center"/>
              <w:rPr>
                <w:rFonts w:hint="eastAsia" w:ascii="宋体" w:hAnsi="宋体" w:eastAsia="宋体" w:cs="宋体"/>
                <w:b/>
              </w:rPr>
            </w:pPr>
            <w:r>
              <w:rPr>
                <w:rFonts w:hint="eastAsia" w:ascii="宋体" w:hAnsi="宋体" w:eastAsia="宋体" w:cs="宋体"/>
                <w:b/>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59" w:type="dxa"/>
            <w:vAlign w:val="center"/>
          </w:tcPr>
          <w:p>
            <w:pPr>
              <w:pStyle w:val="18"/>
              <w:spacing w:line="360" w:lineRule="exact"/>
              <w:jc w:val="center"/>
              <w:rPr>
                <w:rFonts w:hint="eastAsia" w:ascii="宋体" w:hAnsi="宋体" w:eastAsia="宋体" w:cs="宋体"/>
              </w:rPr>
            </w:pPr>
            <w:r>
              <w:rPr>
                <w:rFonts w:hint="eastAsia" w:ascii="宋体" w:hAnsi="宋体" w:eastAsia="宋体" w:cs="宋体"/>
              </w:rPr>
              <w:t>1</w:t>
            </w:r>
          </w:p>
        </w:tc>
        <w:tc>
          <w:tcPr>
            <w:tcW w:w="1984" w:type="dxa"/>
            <w:vAlign w:val="center"/>
          </w:tcPr>
          <w:p>
            <w:pPr>
              <w:pStyle w:val="18"/>
              <w:spacing w:line="360" w:lineRule="exact"/>
              <w:jc w:val="center"/>
              <w:rPr>
                <w:rFonts w:hint="eastAsia" w:ascii="宋体" w:hAnsi="宋体" w:eastAsia="宋体" w:cs="宋体"/>
              </w:rPr>
            </w:pPr>
            <w:r>
              <w:rPr>
                <w:rFonts w:hint="eastAsia" w:ascii="宋体" w:hAnsi="宋体" w:eastAsia="宋体" w:cs="宋体"/>
              </w:rPr>
              <w:t>比选人</w:t>
            </w:r>
          </w:p>
        </w:tc>
        <w:tc>
          <w:tcPr>
            <w:tcW w:w="6237" w:type="dxa"/>
            <w:vAlign w:val="center"/>
          </w:tcPr>
          <w:p>
            <w:pPr>
              <w:pStyle w:val="12"/>
              <w:spacing w:line="360" w:lineRule="exact"/>
              <w:ind w:firstLine="0" w:firstLineChars="0"/>
              <w:rPr>
                <w:rFonts w:hint="eastAsia" w:ascii="宋体" w:hAnsi="宋体" w:eastAsia="宋体" w:cs="宋体"/>
                <w:szCs w:val="21"/>
              </w:rPr>
            </w:pPr>
            <w:r>
              <w:rPr>
                <w:rFonts w:hint="eastAsia" w:ascii="宋体" w:hAnsi="宋体" w:eastAsia="宋体" w:cs="宋体"/>
                <w:szCs w:val="21"/>
              </w:rPr>
              <w:t>比选人：四川成渝高速公路股份有限公司公路运营管理一分公司</w:t>
            </w:r>
          </w:p>
          <w:p>
            <w:pPr>
              <w:pStyle w:val="12"/>
              <w:spacing w:line="360" w:lineRule="exact"/>
              <w:ind w:firstLine="0" w:firstLineChars="0"/>
              <w:rPr>
                <w:rFonts w:hint="eastAsia" w:ascii="宋体" w:hAnsi="宋体" w:eastAsia="宋体" w:cs="宋体"/>
                <w:szCs w:val="21"/>
              </w:rPr>
            </w:pPr>
            <w:r>
              <w:rPr>
                <w:rFonts w:hint="eastAsia" w:ascii="宋体" w:hAnsi="宋体" w:eastAsia="宋体" w:cs="宋体"/>
                <w:szCs w:val="21"/>
              </w:rPr>
              <w:t>比选人地址：四川省成都市成华区迎晖路8号</w:t>
            </w:r>
          </w:p>
          <w:p>
            <w:pPr>
              <w:pStyle w:val="12"/>
              <w:spacing w:line="360" w:lineRule="exact"/>
              <w:ind w:firstLine="0" w:firstLineChars="0"/>
              <w:rPr>
                <w:rFonts w:hint="eastAsia" w:ascii="宋体" w:hAnsi="宋体" w:eastAsia="宋体" w:cs="宋体"/>
                <w:szCs w:val="21"/>
              </w:rPr>
            </w:pPr>
            <w:r>
              <w:rPr>
                <w:rFonts w:hint="eastAsia" w:ascii="宋体" w:hAnsi="宋体" w:eastAsia="宋体" w:cs="宋体"/>
                <w:szCs w:val="21"/>
              </w:rPr>
              <w:t xml:space="preserve">邮  编：610000（成都）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59" w:type="dxa"/>
            <w:vAlign w:val="center"/>
          </w:tcPr>
          <w:p>
            <w:pPr>
              <w:pStyle w:val="18"/>
              <w:spacing w:line="360" w:lineRule="exact"/>
              <w:jc w:val="center"/>
              <w:rPr>
                <w:rFonts w:hint="eastAsia" w:ascii="宋体" w:hAnsi="宋体" w:eastAsia="宋体" w:cs="宋体"/>
              </w:rPr>
            </w:pPr>
            <w:r>
              <w:rPr>
                <w:rFonts w:hint="eastAsia" w:ascii="宋体" w:hAnsi="宋体" w:eastAsia="宋体" w:cs="宋体"/>
              </w:rPr>
              <w:t>2</w:t>
            </w:r>
          </w:p>
        </w:tc>
        <w:tc>
          <w:tcPr>
            <w:tcW w:w="1984" w:type="dxa"/>
            <w:vAlign w:val="center"/>
          </w:tcPr>
          <w:p>
            <w:pPr>
              <w:pStyle w:val="18"/>
              <w:spacing w:line="360" w:lineRule="exact"/>
              <w:jc w:val="center"/>
              <w:rPr>
                <w:rFonts w:hint="eastAsia" w:ascii="宋体" w:hAnsi="宋体" w:eastAsia="宋体" w:cs="宋体"/>
              </w:rPr>
            </w:pPr>
            <w:r>
              <w:rPr>
                <w:rFonts w:hint="eastAsia" w:ascii="宋体" w:hAnsi="宋体" w:eastAsia="宋体" w:cs="宋体"/>
              </w:rPr>
              <w:t>招标代理机构</w:t>
            </w:r>
          </w:p>
        </w:tc>
        <w:tc>
          <w:tcPr>
            <w:tcW w:w="6237" w:type="dxa"/>
            <w:vAlign w:val="center"/>
          </w:tcPr>
          <w:p>
            <w:pPr>
              <w:pStyle w:val="18"/>
              <w:spacing w:line="360" w:lineRule="exact"/>
              <w:rPr>
                <w:rFonts w:hint="eastAsia"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59" w:type="dxa"/>
            <w:vAlign w:val="center"/>
          </w:tcPr>
          <w:p>
            <w:pPr>
              <w:pStyle w:val="18"/>
              <w:spacing w:line="360" w:lineRule="exact"/>
              <w:jc w:val="center"/>
              <w:rPr>
                <w:rFonts w:hint="eastAsia" w:ascii="宋体" w:hAnsi="宋体" w:eastAsia="宋体" w:cs="宋体"/>
              </w:rPr>
            </w:pPr>
            <w:r>
              <w:rPr>
                <w:rFonts w:hint="eastAsia" w:ascii="宋体" w:hAnsi="宋体" w:eastAsia="宋体" w:cs="宋体"/>
              </w:rPr>
              <w:t>3</w:t>
            </w:r>
          </w:p>
        </w:tc>
        <w:tc>
          <w:tcPr>
            <w:tcW w:w="1984" w:type="dxa"/>
            <w:vAlign w:val="center"/>
          </w:tcPr>
          <w:p>
            <w:pPr>
              <w:pStyle w:val="18"/>
              <w:spacing w:line="360" w:lineRule="exact"/>
              <w:jc w:val="center"/>
              <w:rPr>
                <w:rFonts w:hint="eastAsia" w:ascii="宋体" w:hAnsi="宋体" w:eastAsia="宋体" w:cs="宋体"/>
              </w:rPr>
            </w:pPr>
            <w:r>
              <w:rPr>
                <w:rFonts w:hint="eastAsia" w:ascii="宋体" w:hAnsi="宋体" w:eastAsia="宋体" w:cs="宋体"/>
              </w:rPr>
              <w:t>项目名称</w:t>
            </w:r>
          </w:p>
        </w:tc>
        <w:tc>
          <w:tcPr>
            <w:tcW w:w="6237" w:type="dxa"/>
            <w:vAlign w:val="center"/>
          </w:tcPr>
          <w:p>
            <w:pPr>
              <w:pStyle w:val="18"/>
              <w:spacing w:line="360" w:lineRule="exact"/>
              <w:rPr>
                <w:rFonts w:hint="eastAsia" w:ascii="宋体" w:hAnsi="宋体" w:eastAsia="宋体" w:cs="宋体"/>
              </w:rPr>
            </w:pPr>
            <w:r>
              <w:rPr>
                <w:rFonts w:hint="eastAsia" w:ascii="宋体" w:hAnsi="宋体" w:eastAsia="宋体" w:cs="宋体"/>
              </w:rPr>
              <w:t>四川成渝高速公路股份有限公司公路运营管理一分公司</w:t>
            </w:r>
            <w:r>
              <w:rPr>
                <w:rFonts w:hint="eastAsia" w:hAnsi="宋体" w:eastAsia="宋体" w:cs="宋体"/>
                <w:lang w:eastAsia="zh-CN"/>
              </w:rPr>
              <w:t>双重预防机制建设和安全生产标准化二级达标创建技术服务项目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59" w:type="dxa"/>
            <w:vAlign w:val="center"/>
          </w:tcPr>
          <w:p>
            <w:pPr>
              <w:pStyle w:val="12"/>
              <w:spacing w:line="360" w:lineRule="exact"/>
              <w:ind w:firstLine="0" w:firstLineChars="0"/>
              <w:jc w:val="center"/>
              <w:rPr>
                <w:rFonts w:hint="eastAsia" w:ascii="宋体" w:hAnsi="宋体" w:eastAsia="宋体" w:cs="宋体"/>
              </w:rPr>
            </w:pPr>
            <w:r>
              <w:rPr>
                <w:rFonts w:hint="eastAsia" w:ascii="宋体" w:hAnsi="宋体" w:eastAsia="宋体" w:cs="宋体"/>
              </w:rPr>
              <w:t>4</w:t>
            </w:r>
          </w:p>
        </w:tc>
        <w:tc>
          <w:tcPr>
            <w:tcW w:w="1984" w:type="dxa"/>
            <w:vAlign w:val="center"/>
          </w:tcPr>
          <w:p>
            <w:pPr>
              <w:pStyle w:val="12"/>
              <w:spacing w:line="360" w:lineRule="exact"/>
              <w:ind w:firstLine="0" w:firstLineChars="0"/>
              <w:jc w:val="center"/>
              <w:rPr>
                <w:rFonts w:hint="eastAsia" w:ascii="宋体" w:hAnsi="宋体" w:eastAsia="宋体" w:cs="宋体"/>
                <w:kern w:val="0"/>
                <w:sz w:val="20"/>
              </w:rPr>
            </w:pPr>
            <w:r>
              <w:rPr>
                <w:rFonts w:hint="eastAsia" w:ascii="宋体" w:hAnsi="宋体" w:eastAsia="宋体" w:cs="宋体"/>
                <w:kern w:val="0"/>
                <w:sz w:val="20"/>
              </w:rPr>
              <w:t>项目地点</w:t>
            </w:r>
          </w:p>
        </w:tc>
        <w:tc>
          <w:tcPr>
            <w:tcW w:w="6237" w:type="dxa"/>
            <w:vAlign w:val="center"/>
          </w:tcPr>
          <w:p>
            <w:pPr>
              <w:pStyle w:val="12"/>
              <w:spacing w:line="360" w:lineRule="exact"/>
              <w:ind w:firstLine="0" w:firstLineChars="0"/>
              <w:rPr>
                <w:rFonts w:hint="eastAsia" w:ascii="宋体" w:hAnsi="宋体" w:eastAsia="宋体" w:cs="宋体"/>
                <w:kern w:val="0"/>
                <w:sz w:val="20"/>
              </w:rPr>
            </w:pPr>
            <w:r>
              <w:rPr>
                <w:rFonts w:hint="eastAsia" w:ascii="宋体" w:hAnsi="宋体" w:eastAsia="宋体" w:cs="宋体"/>
                <w:kern w:val="0"/>
                <w:sz w:val="20"/>
              </w:rPr>
              <w:t>成都市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59" w:type="dxa"/>
            <w:vAlign w:val="center"/>
          </w:tcPr>
          <w:p>
            <w:pPr>
              <w:pStyle w:val="18"/>
              <w:spacing w:line="360" w:lineRule="exact"/>
              <w:jc w:val="center"/>
              <w:rPr>
                <w:rFonts w:hint="eastAsia" w:ascii="宋体" w:hAnsi="宋体" w:eastAsia="宋体" w:cs="宋体"/>
              </w:rPr>
            </w:pPr>
            <w:r>
              <w:rPr>
                <w:rFonts w:hint="eastAsia" w:ascii="宋体" w:hAnsi="宋体" w:eastAsia="宋体" w:cs="宋体"/>
              </w:rPr>
              <w:t>5</w:t>
            </w:r>
          </w:p>
        </w:tc>
        <w:tc>
          <w:tcPr>
            <w:tcW w:w="1984" w:type="dxa"/>
            <w:vAlign w:val="center"/>
          </w:tcPr>
          <w:p>
            <w:pPr>
              <w:pStyle w:val="18"/>
              <w:spacing w:line="360" w:lineRule="exact"/>
              <w:jc w:val="center"/>
              <w:rPr>
                <w:rFonts w:hint="eastAsia" w:ascii="宋体" w:hAnsi="宋体" w:eastAsia="宋体" w:cs="宋体"/>
              </w:rPr>
            </w:pPr>
            <w:r>
              <w:rPr>
                <w:rFonts w:hint="eastAsia" w:ascii="宋体" w:hAnsi="宋体" w:eastAsia="宋体" w:cs="宋体"/>
              </w:rPr>
              <w:t>服务范围</w:t>
            </w:r>
          </w:p>
        </w:tc>
        <w:tc>
          <w:tcPr>
            <w:tcW w:w="6237" w:type="dxa"/>
            <w:vAlign w:val="center"/>
          </w:tcPr>
          <w:p>
            <w:pPr>
              <w:pStyle w:val="18"/>
              <w:spacing w:line="360" w:lineRule="exact"/>
              <w:jc w:val="left"/>
              <w:rPr>
                <w:rFonts w:hint="eastAsia" w:ascii="宋体" w:hAnsi="宋体" w:eastAsia="宋体" w:cs="宋体"/>
              </w:rPr>
            </w:pPr>
            <w:r>
              <w:rPr>
                <w:rFonts w:hint="eastAsia" w:ascii="宋体" w:hAnsi="宋体" w:eastAsia="宋体" w:cs="宋体"/>
              </w:rPr>
              <w:t>同比选公告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59" w:type="dxa"/>
            <w:vAlign w:val="center"/>
          </w:tcPr>
          <w:p>
            <w:pPr>
              <w:pStyle w:val="18"/>
              <w:spacing w:line="360" w:lineRule="exact"/>
              <w:jc w:val="center"/>
              <w:rPr>
                <w:rFonts w:hint="eastAsia" w:ascii="宋体" w:hAnsi="宋体" w:eastAsia="宋体" w:cs="宋体"/>
              </w:rPr>
            </w:pPr>
            <w:r>
              <w:rPr>
                <w:rFonts w:hint="eastAsia" w:ascii="宋体" w:hAnsi="宋体" w:eastAsia="宋体" w:cs="宋体"/>
              </w:rPr>
              <w:t>6</w:t>
            </w:r>
          </w:p>
        </w:tc>
        <w:tc>
          <w:tcPr>
            <w:tcW w:w="1984" w:type="dxa"/>
            <w:vAlign w:val="center"/>
          </w:tcPr>
          <w:p>
            <w:pPr>
              <w:pStyle w:val="18"/>
              <w:spacing w:line="360" w:lineRule="exact"/>
              <w:jc w:val="center"/>
              <w:rPr>
                <w:rFonts w:hint="eastAsia" w:ascii="宋体" w:hAnsi="宋体" w:eastAsia="宋体" w:cs="宋体"/>
              </w:rPr>
            </w:pPr>
            <w:r>
              <w:rPr>
                <w:rFonts w:hint="eastAsia" w:ascii="宋体" w:hAnsi="宋体" w:eastAsia="宋体" w:cs="宋体"/>
              </w:rPr>
              <w:t>服务期限</w:t>
            </w:r>
          </w:p>
        </w:tc>
        <w:tc>
          <w:tcPr>
            <w:tcW w:w="6237" w:type="dxa"/>
            <w:vAlign w:val="center"/>
          </w:tcPr>
          <w:p>
            <w:pPr>
              <w:pStyle w:val="18"/>
              <w:spacing w:line="360" w:lineRule="exact"/>
              <w:jc w:val="left"/>
              <w:rPr>
                <w:rFonts w:hint="eastAsia" w:ascii="宋体" w:hAnsi="宋体" w:eastAsia="宋体" w:cs="宋体"/>
              </w:rPr>
            </w:pPr>
            <w:r>
              <w:rPr>
                <w:rFonts w:hint="eastAsia" w:ascii="宋体" w:hAnsi="宋体" w:eastAsia="宋体" w:cs="宋体"/>
              </w:rPr>
              <w:t>双方合同签订之日起，合同期限为1年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959" w:type="dxa"/>
            <w:vAlign w:val="center"/>
          </w:tcPr>
          <w:p>
            <w:pPr>
              <w:pStyle w:val="18"/>
              <w:spacing w:line="360" w:lineRule="exact"/>
              <w:jc w:val="center"/>
              <w:rPr>
                <w:rFonts w:hint="eastAsia" w:ascii="宋体" w:hAnsi="宋体" w:eastAsia="宋体" w:cs="宋体"/>
              </w:rPr>
            </w:pPr>
            <w:r>
              <w:rPr>
                <w:rFonts w:hint="eastAsia" w:ascii="宋体" w:hAnsi="宋体" w:eastAsia="宋体" w:cs="宋体"/>
              </w:rPr>
              <w:t>7</w:t>
            </w:r>
          </w:p>
        </w:tc>
        <w:tc>
          <w:tcPr>
            <w:tcW w:w="1984" w:type="dxa"/>
            <w:vAlign w:val="center"/>
          </w:tcPr>
          <w:p>
            <w:pPr>
              <w:pStyle w:val="18"/>
              <w:spacing w:line="360" w:lineRule="exact"/>
              <w:jc w:val="center"/>
              <w:rPr>
                <w:rFonts w:hint="eastAsia" w:ascii="宋体" w:hAnsi="宋体" w:eastAsia="宋体" w:cs="宋体"/>
              </w:rPr>
            </w:pPr>
            <w:r>
              <w:rPr>
                <w:rFonts w:hint="eastAsia" w:ascii="宋体" w:hAnsi="宋体" w:eastAsia="宋体" w:cs="宋体"/>
              </w:rPr>
              <w:t>质量要求</w:t>
            </w:r>
          </w:p>
        </w:tc>
        <w:tc>
          <w:tcPr>
            <w:tcW w:w="6237" w:type="dxa"/>
            <w:vAlign w:val="center"/>
          </w:tcPr>
          <w:p>
            <w:pPr>
              <w:pStyle w:val="18"/>
              <w:spacing w:line="360" w:lineRule="exact"/>
              <w:jc w:val="left"/>
              <w:rPr>
                <w:rFonts w:hint="eastAsia" w:ascii="宋体" w:hAnsi="宋体" w:eastAsia="宋体" w:cs="宋体"/>
              </w:rPr>
            </w:pPr>
            <w:r>
              <w:rPr>
                <w:rFonts w:hint="eastAsia" w:ascii="宋体" w:hAnsi="宋体" w:eastAsia="宋体" w:cs="宋体"/>
              </w:rPr>
              <w:t>按照国家、部、省等相关法律法规，提供令</w:t>
            </w:r>
            <w:r>
              <w:rPr>
                <w:rFonts w:hint="eastAsia" w:hAnsi="宋体" w:eastAsia="宋体" w:cs="宋体"/>
                <w:highlight w:val="none"/>
                <w:lang w:eastAsia="zh-CN"/>
              </w:rPr>
              <w:t>比选人</w:t>
            </w:r>
            <w:r>
              <w:rPr>
                <w:rFonts w:hint="eastAsia" w:ascii="宋体" w:hAnsi="宋体" w:eastAsia="宋体" w:cs="宋体"/>
              </w:rPr>
              <w:t>满意的服务质量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59" w:type="dxa"/>
            <w:vAlign w:val="center"/>
          </w:tcPr>
          <w:p>
            <w:pPr>
              <w:pStyle w:val="18"/>
              <w:spacing w:line="360" w:lineRule="exact"/>
              <w:jc w:val="center"/>
              <w:rPr>
                <w:rFonts w:hint="eastAsia" w:ascii="宋体" w:hAnsi="宋体" w:eastAsia="宋体" w:cs="宋体"/>
              </w:rPr>
            </w:pPr>
            <w:r>
              <w:rPr>
                <w:rFonts w:hint="eastAsia" w:ascii="宋体" w:hAnsi="宋体" w:eastAsia="宋体" w:cs="宋体"/>
              </w:rPr>
              <w:t>8</w:t>
            </w:r>
          </w:p>
        </w:tc>
        <w:tc>
          <w:tcPr>
            <w:tcW w:w="1984" w:type="dxa"/>
            <w:vAlign w:val="center"/>
          </w:tcPr>
          <w:p>
            <w:pPr>
              <w:pStyle w:val="18"/>
              <w:spacing w:line="360" w:lineRule="exact"/>
              <w:jc w:val="center"/>
              <w:rPr>
                <w:rFonts w:hint="eastAsia" w:ascii="宋体" w:hAnsi="宋体" w:eastAsia="宋体" w:cs="宋体"/>
              </w:rPr>
            </w:pPr>
            <w:r>
              <w:rPr>
                <w:rFonts w:hint="eastAsia" w:ascii="宋体" w:hAnsi="宋体" w:eastAsia="宋体" w:cs="宋体"/>
              </w:rPr>
              <w:t>是否接受联合体比选申请</w:t>
            </w:r>
          </w:p>
        </w:tc>
        <w:tc>
          <w:tcPr>
            <w:tcW w:w="6237" w:type="dxa"/>
            <w:vAlign w:val="center"/>
          </w:tcPr>
          <w:p>
            <w:pPr>
              <w:pStyle w:val="18"/>
              <w:spacing w:line="360" w:lineRule="exact"/>
              <w:jc w:val="left"/>
              <w:rPr>
                <w:rFonts w:hint="eastAsia" w:ascii="宋体" w:hAnsi="宋体" w:eastAsia="宋体" w:cs="宋体"/>
              </w:rPr>
            </w:pPr>
            <w:r>
              <w:rPr>
                <w:rFonts w:hint="eastAsia" w:ascii="宋体" w:hAnsi="宋体" w:eastAsia="宋体" w:cs="宋体"/>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59" w:type="dxa"/>
            <w:vAlign w:val="center"/>
          </w:tcPr>
          <w:p>
            <w:pPr>
              <w:pStyle w:val="18"/>
              <w:spacing w:line="360" w:lineRule="exact"/>
              <w:jc w:val="center"/>
              <w:rPr>
                <w:rFonts w:hint="eastAsia" w:ascii="宋体" w:hAnsi="宋体" w:eastAsia="宋体" w:cs="宋体"/>
              </w:rPr>
            </w:pPr>
            <w:r>
              <w:rPr>
                <w:rFonts w:hint="eastAsia" w:ascii="宋体" w:hAnsi="宋体" w:eastAsia="宋体" w:cs="宋体"/>
              </w:rPr>
              <w:t>9</w:t>
            </w:r>
          </w:p>
        </w:tc>
        <w:tc>
          <w:tcPr>
            <w:tcW w:w="1984" w:type="dxa"/>
            <w:vAlign w:val="center"/>
          </w:tcPr>
          <w:p>
            <w:pPr>
              <w:pStyle w:val="18"/>
              <w:spacing w:line="360" w:lineRule="exact"/>
              <w:jc w:val="center"/>
              <w:rPr>
                <w:rFonts w:hint="eastAsia" w:ascii="宋体" w:hAnsi="宋体" w:eastAsia="宋体" w:cs="宋体"/>
              </w:rPr>
            </w:pPr>
            <w:r>
              <w:rPr>
                <w:rFonts w:hint="eastAsia" w:ascii="宋体" w:hAnsi="宋体" w:eastAsia="宋体" w:cs="宋体"/>
              </w:rPr>
              <w:t>踏勘现场</w:t>
            </w:r>
          </w:p>
        </w:tc>
        <w:tc>
          <w:tcPr>
            <w:tcW w:w="6237" w:type="dxa"/>
            <w:vAlign w:val="center"/>
          </w:tcPr>
          <w:p>
            <w:pPr>
              <w:pStyle w:val="18"/>
              <w:spacing w:line="360" w:lineRule="exact"/>
              <w:jc w:val="left"/>
              <w:rPr>
                <w:rFonts w:hint="eastAsia" w:ascii="宋体" w:hAnsi="宋体" w:eastAsia="宋体" w:cs="宋体"/>
              </w:rPr>
            </w:pPr>
            <w:r>
              <w:rPr>
                <w:rFonts w:hint="eastAsia" w:ascii="宋体" w:hAnsi="宋体" w:eastAsia="宋体" w:cs="宋体"/>
              </w:rPr>
              <w:t>不组织，自行踏勘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59" w:type="dxa"/>
            <w:tcBorders>
              <w:top w:val="single" w:color="auto" w:sz="4" w:space="0"/>
              <w:left w:val="single" w:color="auto" w:sz="4" w:space="0"/>
              <w:bottom w:val="single" w:color="auto" w:sz="4" w:space="0"/>
              <w:right w:val="single" w:color="auto" w:sz="4" w:space="0"/>
            </w:tcBorders>
            <w:vAlign w:val="center"/>
          </w:tcPr>
          <w:p>
            <w:pPr>
              <w:pStyle w:val="18"/>
              <w:spacing w:line="360" w:lineRule="exact"/>
              <w:jc w:val="center"/>
              <w:rPr>
                <w:rFonts w:hint="eastAsia" w:ascii="宋体" w:hAnsi="宋体" w:eastAsia="宋体" w:cs="宋体"/>
              </w:rPr>
            </w:pPr>
            <w:r>
              <w:rPr>
                <w:rFonts w:hint="eastAsia" w:ascii="宋体" w:hAnsi="宋体" w:eastAsia="宋体" w:cs="宋体"/>
              </w:rPr>
              <w:t>10</w:t>
            </w:r>
          </w:p>
        </w:tc>
        <w:tc>
          <w:tcPr>
            <w:tcW w:w="1984" w:type="dxa"/>
            <w:tcBorders>
              <w:top w:val="single" w:color="auto" w:sz="4" w:space="0"/>
              <w:left w:val="single" w:color="auto" w:sz="4" w:space="0"/>
              <w:bottom w:val="single" w:color="auto" w:sz="4" w:space="0"/>
              <w:right w:val="single" w:color="auto" w:sz="4" w:space="0"/>
            </w:tcBorders>
            <w:vAlign w:val="center"/>
          </w:tcPr>
          <w:p>
            <w:pPr>
              <w:pStyle w:val="18"/>
              <w:spacing w:line="360" w:lineRule="exact"/>
              <w:jc w:val="center"/>
              <w:rPr>
                <w:rFonts w:hint="eastAsia" w:ascii="宋体" w:hAnsi="宋体" w:eastAsia="宋体" w:cs="宋体"/>
              </w:rPr>
            </w:pPr>
            <w:r>
              <w:rPr>
                <w:rFonts w:hint="eastAsia" w:ascii="宋体" w:hAnsi="宋体" w:eastAsia="宋体" w:cs="宋体"/>
              </w:rPr>
              <w:t>分包</w:t>
            </w:r>
          </w:p>
        </w:tc>
        <w:tc>
          <w:tcPr>
            <w:tcW w:w="6237" w:type="dxa"/>
            <w:tcBorders>
              <w:top w:val="single" w:color="auto" w:sz="4" w:space="0"/>
              <w:left w:val="single" w:color="auto" w:sz="4" w:space="0"/>
              <w:bottom w:val="single" w:color="auto" w:sz="4" w:space="0"/>
              <w:right w:val="single" w:color="auto" w:sz="4" w:space="0"/>
            </w:tcBorders>
            <w:vAlign w:val="center"/>
          </w:tcPr>
          <w:p>
            <w:pPr>
              <w:pStyle w:val="18"/>
              <w:spacing w:line="360" w:lineRule="exact"/>
              <w:jc w:val="left"/>
              <w:rPr>
                <w:rFonts w:hint="eastAsia" w:ascii="宋体" w:hAnsi="宋体" w:eastAsia="宋体" w:cs="宋体"/>
              </w:rPr>
            </w:pPr>
            <w:r>
              <w:rPr>
                <w:rFonts w:hint="eastAsia" w:ascii="宋体" w:hAnsi="宋体" w:eastAsia="宋体" w:cs="宋体"/>
              </w:rPr>
              <w:t>本项目严禁转包和违法分包。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59" w:type="dxa"/>
            <w:tcBorders>
              <w:top w:val="single" w:color="auto" w:sz="4" w:space="0"/>
              <w:left w:val="single" w:color="auto" w:sz="4" w:space="0"/>
              <w:bottom w:val="single" w:color="auto" w:sz="4" w:space="0"/>
              <w:right w:val="single" w:color="auto" w:sz="4" w:space="0"/>
            </w:tcBorders>
            <w:vAlign w:val="center"/>
          </w:tcPr>
          <w:p>
            <w:pPr>
              <w:pStyle w:val="18"/>
              <w:spacing w:line="360" w:lineRule="exact"/>
              <w:jc w:val="center"/>
              <w:rPr>
                <w:rFonts w:hint="eastAsia" w:ascii="宋体" w:hAnsi="宋体" w:eastAsia="宋体" w:cs="宋体"/>
              </w:rPr>
            </w:pPr>
            <w:r>
              <w:rPr>
                <w:rFonts w:hint="eastAsia" w:ascii="宋体" w:hAnsi="宋体" w:eastAsia="宋体" w:cs="宋体"/>
              </w:rPr>
              <w:t>11</w:t>
            </w:r>
          </w:p>
        </w:tc>
        <w:tc>
          <w:tcPr>
            <w:tcW w:w="1984" w:type="dxa"/>
            <w:tcBorders>
              <w:top w:val="single" w:color="auto" w:sz="4" w:space="0"/>
              <w:left w:val="single" w:color="auto" w:sz="4" w:space="0"/>
              <w:bottom w:val="single" w:color="auto" w:sz="4" w:space="0"/>
              <w:right w:val="single" w:color="auto" w:sz="4" w:space="0"/>
            </w:tcBorders>
            <w:vAlign w:val="center"/>
          </w:tcPr>
          <w:p>
            <w:pPr>
              <w:pStyle w:val="18"/>
              <w:spacing w:line="360" w:lineRule="exact"/>
              <w:jc w:val="center"/>
              <w:rPr>
                <w:rFonts w:hint="eastAsia" w:ascii="宋体" w:hAnsi="宋体" w:eastAsia="宋体" w:cs="宋体"/>
              </w:rPr>
            </w:pPr>
            <w:r>
              <w:rPr>
                <w:rFonts w:hint="eastAsia" w:ascii="宋体" w:hAnsi="宋体" w:eastAsia="宋体" w:cs="宋体"/>
              </w:rPr>
              <w:t>偏离</w:t>
            </w:r>
          </w:p>
        </w:tc>
        <w:tc>
          <w:tcPr>
            <w:tcW w:w="6237" w:type="dxa"/>
            <w:tcBorders>
              <w:top w:val="single" w:color="auto" w:sz="4" w:space="0"/>
              <w:left w:val="single" w:color="auto" w:sz="4" w:space="0"/>
              <w:bottom w:val="single" w:color="auto" w:sz="4" w:space="0"/>
              <w:right w:val="single" w:color="auto" w:sz="4" w:space="0"/>
            </w:tcBorders>
            <w:vAlign w:val="center"/>
          </w:tcPr>
          <w:p>
            <w:pPr>
              <w:pStyle w:val="18"/>
              <w:spacing w:line="360" w:lineRule="exact"/>
              <w:jc w:val="left"/>
              <w:rPr>
                <w:rFonts w:hint="eastAsia" w:ascii="宋体" w:hAnsi="宋体" w:eastAsia="宋体" w:cs="宋体"/>
              </w:rPr>
            </w:pPr>
            <w:r>
              <w:rPr>
                <w:rFonts w:hint="eastAsia" w:ascii="宋体" w:hAnsi="宋体" w:eastAsia="宋体" w:cs="宋体"/>
              </w:rPr>
              <w:t>不允许重大偏差，但允许细微偏离，具体见第三章评标办法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59" w:type="dxa"/>
            <w:tcBorders>
              <w:top w:val="single" w:color="auto" w:sz="4" w:space="0"/>
              <w:left w:val="single" w:color="auto" w:sz="4" w:space="0"/>
              <w:bottom w:val="single" w:color="auto" w:sz="4" w:space="0"/>
              <w:right w:val="single" w:color="auto" w:sz="4" w:space="0"/>
            </w:tcBorders>
            <w:vAlign w:val="center"/>
          </w:tcPr>
          <w:p>
            <w:pPr>
              <w:pStyle w:val="18"/>
              <w:spacing w:line="360" w:lineRule="exact"/>
              <w:jc w:val="center"/>
              <w:rPr>
                <w:rFonts w:hint="eastAsia" w:ascii="宋体" w:hAnsi="宋体" w:eastAsia="宋体" w:cs="宋体"/>
              </w:rPr>
            </w:pPr>
            <w:r>
              <w:rPr>
                <w:rFonts w:hint="eastAsia" w:ascii="宋体" w:hAnsi="宋体" w:eastAsia="宋体" w:cs="宋体"/>
              </w:rPr>
              <w:t>12</w:t>
            </w:r>
          </w:p>
        </w:tc>
        <w:tc>
          <w:tcPr>
            <w:tcW w:w="1984" w:type="dxa"/>
            <w:tcBorders>
              <w:top w:val="single" w:color="auto" w:sz="4" w:space="0"/>
              <w:left w:val="single" w:color="auto" w:sz="4" w:space="0"/>
              <w:bottom w:val="single" w:color="auto" w:sz="4" w:space="0"/>
              <w:right w:val="single" w:color="auto" w:sz="4" w:space="0"/>
            </w:tcBorders>
            <w:vAlign w:val="center"/>
          </w:tcPr>
          <w:p>
            <w:pPr>
              <w:pStyle w:val="18"/>
              <w:spacing w:line="360" w:lineRule="exact"/>
              <w:jc w:val="center"/>
              <w:rPr>
                <w:rFonts w:hint="eastAsia" w:ascii="宋体" w:hAnsi="宋体" w:eastAsia="宋体" w:cs="宋体"/>
              </w:rPr>
            </w:pPr>
            <w:r>
              <w:rPr>
                <w:rFonts w:hint="eastAsia" w:ascii="宋体" w:hAnsi="宋体" w:eastAsia="宋体" w:cs="宋体"/>
              </w:rPr>
              <w:t>构成比选文件的其他材料</w:t>
            </w:r>
          </w:p>
        </w:tc>
        <w:tc>
          <w:tcPr>
            <w:tcW w:w="6237" w:type="dxa"/>
            <w:tcBorders>
              <w:top w:val="single" w:color="auto" w:sz="4" w:space="0"/>
              <w:left w:val="single" w:color="auto" w:sz="4" w:space="0"/>
              <w:bottom w:val="single" w:color="auto" w:sz="4" w:space="0"/>
              <w:right w:val="single" w:color="auto" w:sz="4" w:space="0"/>
            </w:tcBorders>
            <w:vAlign w:val="center"/>
          </w:tcPr>
          <w:p>
            <w:pPr>
              <w:pStyle w:val="18"/>
              <w:spacing w:line="360" w:lineRule="exact"/>
              <w:jc w:val="left"/>
              <w:rPr>
                <w:rFonts w:hint="eastAsia" w:ascii="宋体" w:hAnsi="宋体" w:eastAsia="宋体" w:cs="宋体"/>
              </w:rPr>
            </w:pPr>
            <w:r>
              <w:rPr>
                <w:rFonts w:hint="eastAsia" w:ascii="宋体" w:hAnsi="宋体" w:eastAsia="宋体" w:cs="宋体"/>
              </w:rPr>
              <w:t>比选文件补遗书（如果有）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59" w:type="dxa"/>
            <w:tcBorders>
              <w:top w:val="single" w:color="auto" w:sz="4" w:space="0"/>
              <w:left w:val="single" w:color="auto" w:sz="4" w:space="0"/>
              <w:bottom w:val="single" w:color="auto" w:sz="4" w:space="0"/>
              <w:right w:val="single" w:color="auto" w:sz="4" w:space="0"/>
            </w:tcBorders>
            <w:vAlign w:val="center"/>
          </w:tcPr>
          <w:p>
            <w:pPr>
              <w:pStyle w:val="18"/>
              <w:spacing w:line="360" w:lineRule="exact"/>
              <w:jc w:val="center"/>
              <w:rPr>
                <w:rFonts w:hint="eastAsia" w:ascii="宋体" w:hAnsi="宋体" w:eastAsia="宋体" w:cs="宋体"/>
              </w:rPr>
            </w:pPr>
            <w:r>
              <w:rPr>
                <w:rFonts w:hint="eastAsia" w:ascii="宋体" w:hAnsi="宋体" w:eastAsia="宋体" w:cs="宋体"/>
              </w:rPr>
              <w:t>13</w:t>
            </w:r>
          </w:p>
        </w:tc>
        <w:tc>
          <w:tcPr>
            <w:tcW w:w="1984" w:type="dxa"/>
            <w:tcBorders>
              <w:top w:val="single" w:color="auto" w:sz="4" w:space="0"/>
              <w:left w:val="single" w:color="auto" w:sz="4" w:space="0"/>
              <w:bottom w:val="single" w:color="auto" w:sz="4" w:space="0"/>
              <w:right w:val="single" w:color="auto" w:sz="4" w:space="0"/>
            </w:tcBorders>
            <w:vAlign w:val="center"/>
          </w:tcPr>
          <w:p>
            <w:pPr>
              <w:pStyle w:val="18"/>
              <w:jc w:val="center"/>
              <w:rPr>
                <w:rFonts w:hint="eastAsia" w:ascii="宋体" w:hAnsi="宋体" w:eastAsia="宋体" w:cs="宋体"/>
              </w:rPr>
            </w:pPr>
            <w:r>
              <w:rPr>
                <w:rFonts w:hint="eastAsia" w:ascii="宋体" w:hAnsi="宋体" w:eastAsia="宋体" w:cs="宋体"/>
              </w:rPr>
              <w:t>是否接受调价函</w:t>
            </w:r>
          </w:p>
        </w:tc>
        <w:tc>
          <w:tcPr>
            <w:tcW w:w="6237" w:type="dxa"/>
            <w:tcBorders>
              <w:top w:val="single" w:color="auto" w:sz="4" w:space="0"/>
              <w:left w:val="single" w:color="auto" w:sz="4" w:space="0"/>
              <w:bottom w:val="single" w:color="auto" w:sz="4" w:space="0"/>
              <w:right w:val="single" w:color="auto" w:sz="4" w:space="0"/>
            </w:tcBorders>
            <w:vAlign w:val="center"/>
          </w:tcPr>
          <w:p>
            <w:pPr>
              <w:pStyle w:val="18"/>
              <w:spacing w:line="360" w:lineRule="exact"/>
              <w:rPr>
                <w:rFonts w:hint="eastAsia" w:ascii="宋体" w:hAnsi="宋体" w:eastAsia="宋体" w:cs="宋体"/>
              </w:rPr>
            </w:pPr>
            <w:r>
              <w:rPr>
                <w:rFonts w:hint="eastAsia" w:ascii="宋体" w:hAnsi="宋体" w:eastAsia="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59" w:type="dxa"/>
            <w:tcBorders>
              <w:top w:val="single" w:color="auto" w:sz="4" w:space="0"/>
              <w:left w:val="single" w:color="auto" w:sz="4" w:space="0"/>
              <w:bottom w:val="single" w:color="auto" w:sz="4" w:space="0"/>
              <w:right w:val="single" w:color="auto" w:sz="4" w:space="0"/>
            </w:tcBorders>
            <w:vAlign w:val="center"/>
          </w:tcPr>
          <w:p>
            <w:pPr>
              <w:pStyle w:val="18"/>
              <w:spacing w:line="360" w:lineRule="exact"/>
              <w:jc w:val="center"/>
              <w:rPr>
                <w:rFonts w:hint="eastAsia" w:ascii="宋体" w:hAnsi="宋体" w:eastAsia="宋体" w:cs="宋体"/>
              </w:rPr>
            </w:pPr>
            <w:r>
              <w:rPr>
                <w:rFonts w:hint="eastAsia" w:ascii="宋体" w:hAnsi="宋体" w:eastAsia="宋体" w:cs="宋体"/>
              </w:rPr>
              <w:t>14</w:t>
            </w:r>
          </w:p>
        </w:tc>
        <w:tc>
          <w:tcPr>
            <w:tcW w:w="1984" w:type="dxa"/>
            <w:tcBorders>
              <w:top w:val="single" w:color="auto" w:sz="4" w:space="0"/>
              <w:left w:val="single" w:color="auto" w:sz="4" w:space="0"/>
              <w:bottom w:val="single" w:color="auto" w:sz="4" w:space="0"/>
              <w:right w:val="single" w:color="auto" w:sz="4" w:space="0"/>
            </w:tcBorders>
            <w:vAlign w:val="center"/>
          </w:tcPr>
          <w:p>
            <w:pPr>
              <w:pStyle w:val="18"/>
              <w:jc w:val="center"/>
              <w:rPr>
                <w:rFonts w:hint="eastAsia" w:ascii="宋体" w:hAnsi="宋体" w:eastAsia="宋体" w:cs="宋体"/>
              </w:rPr>
            </w:pPr>
            <w:r>
              <w:rPr>
                <w:rFonts w:hint="eastAsia" w:ascii="宋体" w:hAnsi="宋体" w:eastAsia="宋体" w:cs="宋体"/>
              </w:rPr>
              <w:t>是否调价</w:t>
            </w:r>
          </w:p>
        </w:tc>
        <w:tc>
          <w:tcPr>
            <w:tcW w:w="6237" w:type="dxa"/>
            <w:tcBorders>
              <w:top w:val="single" w:color="auto" w:sz="4" w:space="0"/>
              <w:left w:val="single" w:color="auto" w:sz="4" w:space="0"/>
              <w:bottom w:val="single" w:color="auto" w:sz="4" w:space="0"/>
              <w:right w:val="single" w:color="auto" w:sz="4" w:space="0"/>
            </w:tcBorders>
            <w:vAlign w:val="center"/>
          </w:tcPr>
          <w:p>
            <w:pPr>
              <w:pStyle w:val="18"/>
              <w:spacing w:line="360" w:lineRule="exact"/>
              <w:rPr>
                <w:rFonts w:hint="eastAsia" w:ascii="宋体" w:hAnsi="宋体" w:eastAsia="宋体" w:cs="宋体"/>
              </w:rPr>
            </w:pPr>
            <w:r>
              <w:rPr>
                <w:rFonts w:hint="eastAsia" w:ascii="宋体" w:hAnsi="宋体" w:eastAsia="宋体" w:cs="宋体"/>
              </w:rPr>
              <w:t>在合同实施期间，不调价。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59" w:type="dxa"/>
            <w:tcBorders>
              <w:top w:val="single" w:color="auto" w:sz="4" w:space="0"/>
              <w:left w:val="single" w:color="auto" w:sz="4" w:space="0"/>
              <w:bottom w:val="single" w:color="auto" w:sz="4" w:space="0"/>
              <w:right w:val="single" w:color="auto" w:sz="4" w:space="0"/>
            </w:tcBorders>
            <w:vAlign w:val="center"/>
          </w:tcPr>
          <w:p>
            <w:pPr>
              <w:pStyle w:val="18"/>
              <w:spacing w:line="360" w:lineRule="exact"/>
              <w:jc w:val="center"/>
              <w:rPr>
                <w:rFonts w:hint="eastAsia" w:ascii="宋体" w:hAnsi="宋体" w:eastAsia="宋体" w:cs="宋体"/>
              </w:rPr>
            </w:pPr>
            <w:r>
              <w:rPr>
                <w:rFonts w:hint="eastAsia" w:ascii="宋体" w:hAnsi="宋体" w:eastAsia="宋体" w:cs="宋体"/>
              </w:rPr>
              <w:t>15</w:t>
            </w:r>
          </w:p>
        </w:tc>
        <w:tc>
          <w:tcPr>
            <w:tcW w:w="1984" w:type="dxa"/>
            <w:tcBorders>
              <w:top w:val="single" w:color="auto" w:sz="4" w:space="0"/>
              <w:left w:val="single" w:color="auto" w:sz="4" w:space="0"/>
              <w:bottom w:val="single" w:color="auto" w:sz="4" w:space="0"/>
              <w:right w:val="single" w:color="auto" w:sz="4" w:space="0"/>
            </w:tcBorders>
            <w:vAlign w:val="center"/>
          </w:tcPr>
          <w:p>
            <w:pPr>
              <w:pStyle w:val="18"/>
              <w:spacing w:line="360" w:lineRule="exact"/>
              <w:jc w:val="center"/>
              <w:rPr>
                <w:rFonts w:hint="eastAsia" w:ascii="宋体" w:hAnsi="宋体" w:eastAsia="宋体" w:cs="宋体"/>
              </w:rPr>
            </w:pPr>
            <w:r>
              <w:rPr>
                <w:rFonts w:hint="eastAsia" w:ascii="宋体" w:hAnsi="宋体" w:eastAsia="宋体" w:cs="宋体"/>
              </w:rPr>
              <w:t>报价</w:t>
            </w:r>
          </w:p>
        </w:tc>
        <w:tc>
          <w:tcPr>
            <w:tcW w:w="6237" w:type="dxa"/>
            <w:tcBorders>
              <w:top w:val="single" w:color="auto" w:sz="4" w:space="0"/>
              <w:left w:val="single" w:color="auto" w:sz="4" w:space="0"/>
              <w:bottom w:val="single" w:color="auto" w:sz="4" w:space="0"/>
              <w:right w:val="single" w:color="auto" w:sz="4" w:space="0"/>
            </w:tcBorders>
            <w:vAlign w:val="center"/>
          </w:tcPr>
          <w:p>
            <w:pPr>
              <w:pStyle w:val="18"/>
              <w:spacing w:line="360" w:lineRule="exact"/>
              <w:rPr>
                <w:rFonts w:hint="eastAsia" w:ascii="宋体" w:hAnsi="宋体" w:eastAsia="宋体" w:cs="宋体"/>
                <w:spacing w:val="-4"/>
              </w:rPr>
            </w:pPr>
            <w:r>
              <w:rPr>
                <w:rFonts w:hint="eastAsia" w:ascii="宋体" w:hAnsi="宋体" w:eastAsia="宋体" w:cs="宋体"/>
                <w:spacing w:val="-4"/>
              </w:rPr>
              <w:t>分项报价详见第六篇</w:t>
            </w:r>
            <w:r>
              <w:rPr>
                <w:rFonts w:hint="eastAsia" w:ascii="宋体" w:hAnsi="宋体" w:eastAsia="宋体" w:cs="宋体"/>
                <w:spacing w:val="-4"/>
                <w:lang w:val="en-US" w:eastAsia="zh-CN"/>
              </w:rPr>
              <w:t>比选申请</w:t>
            </w:r>
            <w:r>
              <w:rPr>
                <w:rFonts w:hint="eastAsia" w:ascii="宋体" w:hAnsi="宋体" w:eastAsia="宋体" w:cs="宋体"/>
                <w:spacing w:val="-4"/>
              </w:rPr>
              <w:t>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59" w:type="dxa"/>
            <w:tcBorders>
              <w:top w:val="single" w:color="auto" w:sz="4" w:space="0"/>
              <w:left w:val="single" w:color="auto" w:sz="4" w:space="0"/>
              <w:bottom w:val="single" w:color="auto" w:sz="4" w:space="0"/>
              <w:right w:val="single" w:color="auto" w:sz="4" w:space="0"/>
            </w:tcBorders>
            <w:vAlign w:val="center"/>
          </w:tcPr>
          <w:p>
            <w:pPr>
              <w:pStyle w:val="18"/>
              <w:spacing w:line="360" w:lineRule="exact"/>
              <w:jc w:val="center"/>
              <w:rPr>
                <w:rFonts w:hint="eastAsia" w:ascii="宋体" w:hAnsi="宋体" w:eastAsia="宋体" w:cs="宋体"/>
              </w:rPr>
            </w:pPr>
            <w:r>
              <w:rPr>
                <w:rFonts w:hint="eastAsia" w:ascii="宋体" w:hAnsi="宋体" w:eastAsia="宋体" w:cs="宋体"/>
              </w:rPr>
              <w:t>16</w:t>
            </w:r>
          </w:p>
        </w:tc>
        <w:tc>
          <w:tcPr>
            <w:tcW w:w="1984" w:type="dxa"/>
            <w:tcBorders>
              <w:top w:val="single" w:color="auto" w:sz="4" w:space="0"/>
              <w:left w:val="single" w:color="auto" w:sz="4" w:space="0"/>
              <w:bottom w:val="single" w:color="auto" w:sz="4" w:space="0"/>
              <w:right w:val="single" w:color="auto" w:sz="4" w:space="0"/>
            </w:tcBorders>
            <w:vAlign w:val="center"/>
          </w:tcPr>
          <w:p>
            <w:pPr>
              <w:pStyle w:val="18"/>
              <w:spacing w:line="360" w:lineRule="exact"/>
              <w:jc w:val="center"/>
              <w:rPr>
                <w:rFonts w:hint="eastAsia" w:ascii="宋体" w:hAnsi="宋体" w:eastAsia="宋体" w:cs="宋体"/>
                <w:spacing w:val="-4"/>
              </w:rPr>
            </w:pPr>
            <w:r>
              <w:rPr>
                <w:rFonts w:hint="eastAsia" w:ascii="宋体" w:hAnsi="宋体" w:eastAsia="宋体" w:cs="宋体"/>
                <w:spacing w:val="-4"/>
              </w:rPr>
              <w:t>最高比选申请限价</w:t>
            </w:r>
          </w:p>
        </w:tc>
        <w:tc>
          <w:tcPr>
            <w:tcW w:w="6237" w:type="dxa"/>
            <w:tcBorders>
              <w:top w:val="single" w:color="auto" w:sz="4" w:space="0"/>
              <w:left w:val="single" w:color="auto" w:sz="4" w:space="0"/>
              <w:bottom w:val="single" w:color="auto" w:sz="4" w:space="0"/>
              <w:right w:val="single" w:color="auto" w:sz="4" w:space="0"/>
            </w:tcBorders>
            <w:vAlign w:val="center"/>
          </w:tcPr>
          <w:p>
            <w:pPr>
              <w:pStyle w:val="18"/>
              <w:spacing w:line="360" w:lineRule="exact"/>
              <w:rPr>
                <w:rFonts w:hint="eastAsia" w:ascii="宋体" w:hAnsi="宋体" w:eastAsia="宋体" w:cs="宋体"/>
                <w:b/>
                <w:bCs/>
                <w:spacing w:val="-4"/>
              </w:rPr>
            </w:pPr>
            <w:r>
              <w:rPr>
                <w:rFonts w:hint="eastAsia" w:ascii="宋体" w:hAnsi="宋体" w:eastAsia="宋体" w:cs="宋体"/>
                <w:b/>
                <w:bCs/>
                <w:spacing w:val="-4"/>
              </w:rPr>
              <w:t>有，最高比选申请限价公布如下：</w:t>
            </w:r>
          </w:p>
          <w:p>
            <w:pPr>
              <w:pStyle w:val="18"/>
              <w:spacing w:line="360" w:lineRule="exact"/>
              <w:rPr>
                <w:rFonts w:hint="eastAsia" w:ascii="宋体" w:hAnsi="宋体" w:eastAsia="宋体" w:cs="宋体"/>
                <w:spacing w:val="-4"/>
                <w:highlight w:val="none"/>
              </w:rPr>
            </w:pPr>
            <w:r>
              <w:rPr>
                <w:rFonts w:hint="eastAsia" w:ascii="宋体" w:hAnsi="宋体" w:eastAsia="宋体" w:cs="宋体"/>
                <w:spacing w:val="-4"/>
              </w:rPr>
              <w:t>本项目最高限价</w:t>
            </w:r>
            <w:bookmarkStart w:id="28" w:name="OLE_LINK2"/>
            <w:r>
              <w:rPr>
                <w:rFonts w:hint="eastAsia" w:ascii="宋体" w:hAnsi="宋体" w:eastAsia="宋体" w:cs="宋体"/>
                <w:spacing w:val="-4"/>
              </w:rPr>
              <w:t>金额：人民币</w:t>
            </w:r>
            <w:r>
              <w:rPr>
                <w:rFonts w:hint="eastAsia" w:ascii="宋体" w:hAnsi="宋体" w:eastAsia="宋体" w:cs="宋体"/>
                <w:spacing w:val="-4"/>
                <w:highlight w:val="none"/>
                <w:u w:val="single"/>
                <w:lang w:val="en-US" w:eastAsia="zh-CN"/>
              </w:rPr>
              <w:t>3</w:t>
            </w:r>
            <w:r>
              <w:rPr>
                <w:rFonts w:hint="eastAsia" w:hAnsi="宋体" w:eastAsia="宋体" w:cs="宋体"/>
                <w:spacing w:val="-4"/>
                <w:highlight w:val="none"/>
                <w:u w:val="single"/>
                <w:lang w:val="en-US" w:eastAsia="zh-CN"/>
              </w:rPr>
              <w:t>7.98</w:t>
            </w:r>
            <w:r>
              <w:rPr>
                <w:rFonts w:hint="eastAsia" w:ascii="宋体" w:hAnsi="宋体" w:eastAsia="宋体" w:cs="宋体"/>
                <w:spacing w:val="-4"/>
                <w:highlight w:val="none"/>
              </w:rPr>
              <w:t>万元</w:t>
            </w:r>
            <w:bookmarkEnd w:id="28"/>
            <w:r>
              <w:rPr>
                <w:rFonts w:hint="eastAsia" w:ascii="宋体" w:hAnsi="宋体" w:eastAsia="宋体" w:cs="宋体"/>
                <w:spacing w:val="-4"/>
                <w:highlight w:val="none"/>
              </w:rPr>
              <w:t>（大写：</w:t>
            </w:r>
            <w:r>
              <w:rPr>
                <w:rFonts w:hint="eastAsia" w:ascii="宋体" w:hAnsi="宋体" w:eastAsia="宋体" w:cs="宋体"/>
                <w:spacing w:val="-4"/>
                <w:highlight w:val="none"/>
                <w:lang w:val="en-US" w:eastAsia="zh-CN"/>
              </w:rPr>
              <w:t>叁</w:t>
            </w:r>
            <w:r>
              <w:rPr>
                <w:rFonts w:hint="eastAsia" w:ascii="宋体" w:hAnsi="宋体" w:eastAsia="宋体" w:cs="宋体"/>
                <w:spacing w:val="-4"/>
                <w:highlight w:val="none"/>
              </w:rPr>
              <w:t>拾</w:t>
            </w:r>
            <w:r>
              <w:rPr>
                <w:rFonts w:hint="eastAsia" w:hAnsi="宋体" w:eastAsia="宋体" w:cs="宋体"/>
                <w:spacing w:val="-4"/>
                <w:highlight w:val="none"/>
                <w:lang w:val="en-US" w:eastAsia="zh-CN"/>
              </w:rPr>
              <w:t>柒</w:t>
            </w:r>
            <w:r>
              <w:rPr>
                <w:rFonts w:hint="eastAsia" w:ascii="宋体" w:hAnsi="宋体" w:eastAsia="宋体" w:cs="宋体"/>
                <w:spacing w:val="-4"/>
                <w:highlight w:val="none"/>
              </w:rPr>
              <w:t>万</w:t>
            </w:r>
            <w:r>
              <w:rPr>
                <w:rFonts w:hint="eastAsia" w:hAnsi="宋体" w:eastAsia="宋体" w:cs="宋体"/>
                <w:spacing w:val="-4"/>
                <w:highlight w:val="none"/>
                <w:lang w:val="en-US" w:eastAsia="zh-CN"/>
              </w:rPr>
              <w:t>玖</w:t>
            </w:r>
            <w:r>
              <w:rPr>
                <w:rFonts w:hint="eastAsia" w:ascii="宋体" w:hAnsi="宋体" w:eastAsia="宋体" w:cs="宋体"/>
                <w:spacing w:val="-4"/>
                <w:highlight w:val="none"/>
              </w:rPr>
              <w:t>仟</w:t>
            </w:r>
            <w:r>
              <w:rPr>
                <w:rFonts w:hint="eastAsia" w:hAnsi="宋体" w:eastAsia="宋体" w:cs="宋体"/>
                <w:spacing w:val="-4"/>
                <w:highlight w:val="none"/>
                <w:lang w:val="en-US" w:eastAsia="zh-CN"/>
              </w:rPr>
              <w:t>捌</w:t>
            </w:r>
            <w:r>
              <w:rPr>
                <w:rFonts w:hint="eastAsia" w:ascii="宋体" w:hAnsi="宋体" w:eastAsia="宋体" w:cs="宋体"/>
                <w:spacing w:val="-4"/>
                <w:highlight w:val="none"/>
              </w:rPr>
              <w:t>佰元整）</w:t>
            </w:r>
          </w:p>
          <w:p>
            <w:pPr>
              <w:pStyle w:val="18"/>
              <w:spacing w:line="360" w:lineRule="exact"/>
              <w:rPr>
                <w:rFonts w:hint="eastAsia" w:ascii="宋体" w:hAnsi="宋体" w:eastAsia="宋体" w:cs="宋体"/>
                <w:spacing w:val="-4"/>
              </w:rPr>
            </w:pPr>
            <w:r>
              <w:rPr>
                <w:rFonts w:hint="eastAsia" w:ascii="宋体" w:hAnsi="宋体" w:eastAsia="宋体" w:cs="宋体"/>
                <w:spacing w:val="-4"/>
              </w:rPr>
              <w:t>比选申请报价不得高于比选人公布的最高比选申请限价，否则比选申请文件将视为无效。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tcBorders>
              <w:top w:val="single" w:color="auto" w:sz="4" w:space="0"/>
              <w:left w:val="single" w:color="auto" w:sz="4" w:space="0"/>
              <w:bottom w:val="single" w:color="auto" w:sz="4" w:space="0"/>
              <w:right w:val="single" w:color="auto" w:sz="4" w:space="0"/>
            </w:tcBorders>
            <w:vAlign w:val="center"/>
          </w:tcPr>
          <w:p>
            <w:pPr>
              <w:pStyle w:val="18"/>
              <w:spacing w:line="360" w:lineRule="exact"/>
              <w:jc w:val="center"/>
              <w:rPr>
                <w:rFonts w:hint="eastAsia" w:ascii="宋体" w:hAnsi="宋体" w:eastAsia="宋体" w:cs="宋体"/>
              </w:rPr>
            </w:pPr>
            <w:r>
              <w:rPr>
                <w:rFonts w:hint="eastAsia" w:ascii="宋体" w:hAnsi="宋体" w:eastAsia="宋体" w:cs="宋体"/>
              </w:rPr>
              <w:t>17</w:t>
            </w:r>
          </w:p>
        </w:tc>
        <w:tc>
          <w:tcPr>
            <w:tcW w:w="1984" w:type="dxa"/>
            <w:tcBorders>
              <w:top w:val="single" w:color="auto" w:sz="4" w:space="0"/>
              <w:left w:val="single" w:color="auto" w:sz="4" w:space="0"/>
              <w:bottom w:val="single" w:color="auto" w:sz="4" w:space="0"/>
              <w:right w:val="single" w:color="auto" w:sz="4" w:space="0"/>
            </w:tcBorders>
            <w:vAlign w:val="center"/>
          </w:tcPr>
          <w:p>
            <w:pPr>
              <w:pStyle w:val="18"/>
              <w:spacing w:line="360" w:lineRule="exact"/>
              <w:jc w:val="center"/>
              <w:rPr>
                <w:rFonts w:hint="eastAsia" w:ascii="宋体" w:hAnsi="宋体" w:eastAsia="宋体" w:cs="宋体"/>
                <w:spacing w:val="-4"/>
              </w:rPr>
            </w:pPr>
            <w:r>
              <w:rPr>
                <w:rFonts w:hint="eastAsia" w:hAnsi="宋体" w:eastAsia="宋体" w:cs="宋体"/>
                <w:spacing w:val="-4"/>
                <w:lang w:eastAsia="zh-CN"/>
              </w:rPr>
              <w:t>比选申请</w:t>
            </w:r>
            <w:r>
              <w:rPr>
                <w:rFonts w:hint="eastAsia" w:ascii="宋体" w:hAnsi="宋体" w:eastAsia="宋体" w:cs="宋体"/>
                <w:spacing w:val="-4"/>
              </w:rPr>
              <w:t>报价的其他要求</w:t>
            </w:r>
          </w:p>
        </w:tc>
        <w:tc>
          <w:tcPr>
            <w:tcW w:w="6237" w:type="dxa"/>
            <w:tcBorders>
              <w:top w:val="single" w:color="auto" w:sz="4" w:space="0"/>
              <w:left w:val="single" w:color="auto" w:sz="4" w:space="0"/>
              <w:bottom w:val="single" w:color="auto" w:sz="4" w:space="0"/>
              <w:right w:val="single" w:color="auto" w:sz="4" w:space="0"/>
            </w:tcBorders>
          </w:tcPr>
          <w:p>
            <w:pPr>
              <w:pStyle w:val="18"/>
              <w:spacing w:line="360" w:lineRule="exact"/>
              <w:rPr>
                <w:rFonts w:hint="eastAsia" w:ascii="宋体" w:hAnsi="宋体" w:eastAsia="宋体" w:cs="宋体"/>
                <w:spacing w:val="-4"/>
              </w:rPr>
            </w:pPr>
            <w:r>
              <w:rPr>
                <w:rFonts w:hint="eastAsia" w:hAnsi="宋体" w:eastAsia="宋体" w:cs="宋体"/>
                <w:spacing w:val="-4"/>
                <w:lang w:eastAsia="zh-CN"/>
              </w:rPr>
              <w:t>比选申请</w:t>
            </w:r>
            <w:r>
              <w:rPr>
                <w:rFonts w:hint="eastAsia" w:ascii="宋体" w:hAnsi="宋体" w:eastAsia="宋体" w:cs="宋体"/>
                <w:spacing w:val="-4"/>
              </w:rPr>
              <w:t>报价应包括按照招标文件要求完成服务的所有工作所需的全部费用，具体内容包括但不限于：全过程技术咨询服务、人工费、成果编制费、材料费、设备费、差旅费、</w:t>
            </w:r>
            <w:r>
              <w:rPr>
                <w:rFonts w:hint="eastAsia" w:hAnsi="宋体" w:eastAsia="宋体" w:cs="宋体"/>
                <w:spacing w:val="-4"/>
                <w:lang w:val="en-US" w:eastAsia="zh-CN"/>
              </w:rPr>
              <w:t>交通费、高速公路过路费、</w:t>
            </w:r>
            <w:r>
              <w:rPr>
                <w:rFonts w:hint="eastAsia" w:ascii="宋体" w:hAnsi="宋体" w:eastAsia="宋体" w:cs="宋体"/>
                <w:spacing w:val="-4"/>
              </w:rPr>
              <w:t>管理费、专家评审费、利润、税金、不可预见费等一切费用以及合同表明的所有责任、义务和一般风险。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59" w:type="dxa"/>
            <w:tcBorders>
              <w:top w:val="single" w:color="auto" w:sz="4" w:space="0"/>
              <w:left w:val="single" w:color="auto" w:sz="4" w:space="0"/>
              <w:bottom w:val="single" w:color="auto" w:sz="4" w:space="0"/>
              <w:right w:val="single" w:color="auto" w:sz="4" w:space="0"/>
            </w:tcBorders>
            <w:vAlign w:val="center"/>
          </w:tcPr>
          <w:p>
            <w:pPr>
              <w:pStyle w:val="18"/>
              <w:spacing w:line="360" w:lineRule="exact"/>
              <w:jc w:val="center"/>
              <w:rPr>
                <w:rFonts w:hint="eastAsia" w:ascii="宋体" w:hAnsi="宋体" w:eastAsia="宋体" w:cs="宋体"/>
              </w:rPr>
            </w:pPr>
            <w:r>
              <w:rPr>
                <w:rFonts w:hint="eastAsia" w:ascii="宋体" w:hAnsi="宋体" w:eastAsia="宋体" w:cs="宋体"/>
              </w:rPr>
              <w:t>18</w:t>
            </w:r>
          </w:p>
        </w:tc>
        <w:tc>
          <w:tcPr>
            <w:tcW w:w="1984" w:type="dxa"/>
            <w:tcBorders>
              <w:top w:val="single" w:color="auto" w:sz="4" w:space="0"/>
              <w:left w:val="single" w:color="auto" w:sz="4" w:space="0"/>
              <w:bottom w:val="single" w:color="auto" w:sz="4" w:space="0"/>
              <w:right w:val="single" w:color="auto" w:sz="4" w:space="0"/>
            </w:tcBorders>
            <w:vAlign w:val="center"/>
          </w:tcPr>
          <w:p>
            <w:pPr>
              <w:pStyle w:val="18"/>
              <w:spacing w:line="360" w:lineRule="exact"/>
              <w:jc w:val="center"/>
              <w:rPr>
                <w:rFonts w:hint="eastAsia" w:ascii="宋体" w:hAnsi="宋体" w:eastAsia="宋体" w:cs="宋体"/>
              </w:rPr>
            </w:pPr>
            <w:r>
              <w:rPr>
                <w:rFonts w:hint="eastAsia" w:ascii="宋体" w:hAnsi="宋体" w:eastAsia="宋体" w:cs="宋体"/>
              </w:rPr>
              <w:t>比选有效期</w:t>
            </w:r>
          </w:p>
        </w:tc>
        <w:tc>
          <w:tcPr>
            <w:tcW w:w="6237" w:type="dxa"/>
            <w:tcBorders>
              <w:top w:val="single" w:color="auto" w:sz="4" w:space="0"/>
              <w:left w:val="single" w:color="auto" w:sz="4" w:space="0"/>
              <w:bottom w:val="single" w:color="auto" w:sz="4" w:space="0"/>
              <w:right w:val="single" w:color="auto" w:sz="4" w:space="0"/>
            </w:tcBorders>
            <w:vAlign w:val="center"/>
          </w:tcPr>
          <w:p>
            <w:pPr>
              <w:pStyle w:val="18"/>
              <w:spacing w:line="360" w:lineRule="exact"/>
              <w:rPr>
                <w:rFonts w:hint="eastAsia" w:ascii="宋体" w:hAnsi="宋体" w:eastAsia="宋体" w:cs="宋体"/>
              </w:rPr>
            </w:pPr>
            <w:bookmarkStart w:id="29" w:name="OLE_LINK10"/>
            <w:r>
              <w:rPr>
                <w:rFonts w:hint="eastAsia" w:ascii="宋体" w:hAnsi="宋体" w:eastAsia="宋体" w:cs="宋体"/>
                <w:spacing w:val="-6"/>
              </w:rPr>
              <w:t>自比选申请人提交比选申请文件截止之日起计算</w:t>
            </w:r>
            <w:r>
              <w:rPr>
                <w:rFonts w:hint="eastAsia" w:ascii="宋体" w:hAnsi="宋体" w:eastAsia="宋体" w:cs="宋体"/>
                <w:spacing w:val="-15"/>
              </w:rPr>
              <w:t xml:space="preserve"> </w:t>
            </w:r>
            <w:r>
              <w:rPr>
                <w:rFonts w:hint="eastAsia" w:ascii="宋体" w:hAnsi="宋体" w:eastAsia="宋体" w:cs="宋体"/>
                <w:spacing w:val="-6"/>
                <w:u w:val="single"/>
              </w:rPr>
              <w:t>120</w:t>
            </w:r>
            <w:r>
              <w:rPr>
                <w:rFonts w:hint="eastAsia" w:ascii="宋体" w:hAnsi="宋体" w:eastAsia="宋体" w:cs="宋体"/>
                <w:spacing w:val="-57"/>
                <w:u w:val="single"/>
              </w:rPr>
              <w:t xml:space="preserve"> </w:t>
            </w:r>
            <w:r>
              <w:rPr>
                <w:rFonts w:hint="eastAsia" w:ascii="宋体" w:hAnsi="宋体" w:eastAsia="宋体" w:cs="宋体"/>
                <w:spacing w:val="-6"/>
              </w:rPr>
              <w:t xml:space="preserve"> 日</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trPr>
        <w:tc>
          <w:tcPr>
            <w:tcW w:w="959" w:type="dxa"/>
            <w:tcBorders>
              <w:top w:val="single" w:color="auto" w:sz="4" w:space="0"/>
              <w:left w:val="single" w:color="auto" w:sz="4" w:space="0"/>
              <w:bottom w:val="single" w:color="auto" w:sz="4" w:space="0"/>
              <w:right w:val="single" w:color="auto" w:sz="4" w:space="0"/>
            </w:tcBorders>
            <w:vAlign w:val="center"/>
          </w:tcPr>
          <w:p>
            <w:pPr>
              <w:pStyle w:val="18"/>
              <w:spacing w:line="360" w:lineRule="exact"/>
              <w:jc w:val="center"/>
              <w:rPr>
                <w:rFonts w:hint="eastAsia" w:ascii="宋体" w:hAnsi="宋体" w:eastAsia="宋体" w:cs="宋体"/>
              </w:rPr>
            </w:pPr>
            <w:r>
              <w:rPr>
                <w:rFonts w:hint="eastAsia" w:ascii="宋体" w:hAnsi="宋体" w:eastAsia="宋体" w:cs="宋体"/>
              </w:rPr>
              <w:t>19</w:t>
            </w:r>
          </w:p>
        </w:tc>
        <w:tc>
          <w:tcPr>
            <w:tcW w:w="1984" w:type="dxa"/>
            <w:tcBorders>
              <w:top w:val="single" w:color="auto" w:sz="4" w:space="0"/>
              <w:left w:val="single" w:color="auto" w:sz="4" w:space="0"/>
              <w:bottom w:val="single" w:color="auto" w:sz="4" w:space="0"/>
              <w:right w:val="single" w:color="auto" w:sz="4" w:space="0"/>
            </w:tcBorders>
            <w:vAlign w:val="center"/>
          </w:tcPr>
          <w:p>
            <w:pPr>
              <w:pStyle w:val="18"/>
              <w:spacing w:line="360" w:lineRule="exact"/>
              <w:jc w:val="center"/>
              <w:rPr>
                <w:rFonts w:hint="eastAsia" w:ascii="宋体" w:hAnsi="宋体" w:eastAsia="宋体" w:cs="宋体"/>
              </w:rPr>
            </w:pPr>
            <w:r>
              <w:rPr>
                <w:rFonts w:hint="eastAsia" w:ascii="宋体" w:hAnsi="宋体" w:eastAsia="宋体" w:cs="宋体"/>
              </w:rPr>
              <w:t>比选申请文件的真实性要求</w:t>
            </w:r>
          </w:p>
        </w:tc>
        <w:tc>
          <w:tcPr>
            <w:tcW w:w="6237" w:type="dxa"/>
            <w:tcBorders>
              <w:top w:val="single" w:color="auto" w:sz="4" w:space="0"/>
              <w:left w:val="single" w:color="auto" w:sz="4" w:space="0"/>
              <w:bottom w:val="single" w:color="auto" w:sz="4" w:space="0"/>
              <w:right w:val="single" w:color="auto" w:sz="4" w:space="0"/>
            </w:tcBorders>
          </w:tcPr>
          <w:p>
            <w:pPr>
              <w:pStyle w:val="18"/>
              <w:spacing w:line="360" w:lineRule="exact"/>
              <w:rPr>
                <w:rFonts w:hint="eastAsia" w:ascii="宋体" w:hAnsi="宋体" w:eastAsia="宋体" w:cs="宋体"/>
                <w:spacing w:val="-4"/>
              </w:rPr>
            </w:pPr>
            <w:r>
              <w:rPr>
                <w:rFonts w:hint="eastAsia" w:ascii="宋体" w:hAnsi="宋体" w:eastAsia="宋体" w:cs="宋体"/>
                <w:spacing w:val="-4"/>
              </w:rPr>
              <w:t>比选申请人所递交的比选申请文件中（包括有关资料、澄清）应真实可信，不存在虚假。比选申请人声明不存在限制比选申请情形，但被发现存在限制比选申请情形的，视为虚假比选申请行为。如比选申请文件存在虚假，在评标阶段发现的，评标委员会应否决其比选申请；中</w:t>
            </w:r>
            <w:r>
              <w:rPr>
                <w:rFonts w:hint="eastAsia" w:ascii="宋体" w:hAnsi="宋体" w:eastAsia="宋体" w:cs="宋体"/>
                <w:spacing w:val="-4"/>
                <w:lang w:val="en-US" w:eastAsia="zh-CN"/>
              </w:rPr>
              <w:t>选</w:t>
            </w:r>
            <w:r>
              <w:rPr>
                <w:rFonts w:hint="eastAsia" w:ascii="宋体" w:hAnsi="宋体" w:eastAsia="宋体" w:cs="宋体"/>
                <w:spacing w:val="-4"/>
              </w:rPr>
              <w:t>候选人确定后发现的，比选人可以取消</w:t>
            </w:r>
            <w:r>
              <w:rPr>
                <w:rFonts w:hint="eastAsia" w:hAnsi="宋体" w:eastAsia="宋体" w:cs="宋体"/>
                <w:spacing w:val="-4"/>
                <w:lang w:eastAsia="zh-CN"/>
              </w:rPr>
              <w:t>中选候选人</w:t>
            </w:r>
            <w:r>
              <w:rPr>
                <w:rFonts w:hint="eastAsia" w:ascii="宋体" w:hAnsi="宋体" w:eastAsia="宋体" w:cs="宋体"/>
                <w:spacing w:val="-4"/>
              </w:rPr>
              <w:t>或中标资格，还将上报有关交通运输主管部门，并依据《四川省重点公路建设从业单位信用管理办法》（川交函〔2016〕84号）给予信用处理。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59" w:type="dxa"/>
            <w:tcBorders>
              <w:top w:val="single" w:color="auto" w:sz="4" w:space="0"/>
              <w:left w:val="single" w:color="auto" w:sz="4" w:space="0"/>
              <w:bottom w:val="single" w:color="auto" w:sz="4" w:space="0"/>
              <w:right w:val="single" w:color="auto" w:sz="4" w:space="0"/>
            </w:tcBorders>
            <w:vAlign w:val="center"/>
          </w:tcPr>
          <w:p>
            <w:pPr>
              <w:pStyle w:val="18"/>
              <w:spacing w:line="360" w:lineRule="exact"/>
              <w:jc w:val="center"/>
              <w:rPr>
                <w:rFonts w:hint="eastAsia" w:ascii="宋体" w:hAnsi="宋体" w:eastAsia="宋体" w:cs="宋体"/>
              </w:rPr>
            </w:pPr>
            <w:r>
              <w:rPr>
                <w:rFonts w:hint="eastAsia" w:ascii="宋体" w:hAnsi="宋体" w:eastAsia="宋体" w:cs="宋体"/>
              </w:rPr>
              <w:t>20</w:t>
            </w:r>
          </w:p>
        </w:tc>
        <w:tc>
          <w:tcPr>
            <w:tcW w:w="1984" w:type="dxa"/>
            <w:tcBorders>
              <w:top w:val="single" w:color="auto" w:sz="4" w:space="0"/>
              <w:left w:val="single" w:color="auto" w:sz="4" w:space="0"/>
              <w:bottom w:val="single" w:color="auto" w:sz="4" w:space="0"/>
              <w:right w:val="single" w:color="auto" w:sz="4" w:space="0"/>
            </w:tcBorders>
            <w:vAlign w:val="center"/>
          </w:tcPr>
          <w:p>
            <w:pPr>
              <w:pStyle w:val="18"/>
              <w:jc w:val="center"/>
              <w:rPr>
                <w:rFonts w:hint="eastAsia" w:ascii="宋体" w:hAnsi="宋体" w:eastAsia="宋体" w:cs="宋体"/>
              </w:rPr>
            </w:pPr>
            <w:r>
              <w:rPr>
                <w:rFonts w:hint="eastAsia" w:ascii="宋体" w:hAnsi="宋体" w:eastAsia="宋体" w:cs="宋体"/>
              </w:rPr>
              <w:t>是否允许递交</w:t>
            </w:r>
          </w:p>
          <w:p>
            <w:pPr>
              <w:pStyle w:val="18"/>
              <w:jc w:val="center"/>
              <w:rPr>
                <w:rFonts w:hint="eastAsia" w:ascii="宋体" w:hAnsi="宋体" w:eastAsia="宋体" w:cs="宋体"/>
              </w:rPr>
            </w:pPr>
            <w:r>
              <w:rPr>
                <w:rFonts w:hint="eastAsia" w:ascii="宋体" w:hAnsi="宋体" w:eastAsia="宋体" w:cs="宋体"/>
              </w:rPr>
              <w:t>备选比选申请方案</w:t>
            </w:r>
          </w:p>
        </w:tc>
        <w:tc>
          <w:tcPr>
            <w:tcW w:w="6237" w:type="dxa"/>
            <w:tcBorders>
              <w:top w:val="single" w:color="auto" w:sz="4" w:space="0"/>
              <w:left w:val="single" w:color="auto" w:sz="4" w:space="0"/>
              <w:bottom w:val="single" w:color="auto" w:sz="4" w:space="0"/>
              <w:right w:val="single" w:color="auto" w:sz="4" w:space="0"/>
            </w:tcBorders>
            <w:vAlign w:val="center"/>
          </w:tcPr>
          <w:p>
            <w:pPr>
              <w:pStyle w:val="18"/>
              <w:spacing w:line="360" w:lineRule="exact"/>
              <w:jc w:val="left"/>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eq \o\ac(□,√)</w:instrText>
            </w:r>
            <w:r>
              <w:rPr>
                <w:rFonts w:hint="eastAsia" w:ascii="宋体" w:hAnsi="宋体" w:eastAsia="宋体" w:cs="宋体"/>
              </w:rPr>
              <w:fldChar w:fldCharType="end"/>
            </w:r>
            <w:r>
              <w:rPr>
                <w:rFonts w:hint="eastAsia" w:ascii="宋体" w:hAnsi="宋体" w:eastAsia="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4" w:hRule="atLeast"/>
        </w:trPr>
        <w:tc>
          <w:tcPr>
            <w:tcW w:w="959" w:type="dxa"/>
            <w:tcBorders>
              <w:top w:val="single" w:color="auto" w:sz="4" w:space="0"/>
              <w:left w:val="single" w:color="auto" w:sz="4" w:space="0"/>
              <w:bottom w:val="single" w:color="auto" w:sz="4" w:space="0"/>
              <w:right w:val="single" w:color="auto" w:sz="4" w:space="0"/>
            </w:tcBorders>
            <w:vAlign w:val="center"/>
          </w:tcPr>
          <w:p>
            <w:pPr>
              <w:pStyle w:val="18"/>
              <w:spacing w:line="360" w:lineRule="exact"/>
              <w:jc w:val="center"/>
              <w:rPr>
                <w:rFonts w:hint="eastAsia" w:ascii="宋体" w:hAnsi="宋体" w:eastAsia="宋体" w:cs="宋体"/>
              </w:rPr>
            </w:pPr>
            <w:r>
              <w:rPr>
                <w:rFonts w:hint="eastAsia" w:ascii="宋体" w:hAnsi="宋体" w:eastAsia="宋体" w:cs="宋体"/>
              </w:rPr>
              <w:t>21</w:t>
            </w:r>
          </w:p>
        </w:tc>
        <w:tc>
          <w:tcPr>
            <w:tcW w:w="1984" w:type="dxa"/>
            <w:tcBorders>
              <w:top w:val="single" w:color="auto" w:sz="4" w:space="0"/>
              <w:left w:val="single" w:color="auto" w:sz="4" w:space="0"/>
              <w:bottom w:val="single" w:color="auto" w:sz="4" w:space="0"/>
              <w:right w:val="single" w:color="auto" w:sz="4" w:space="0"/>
            </w:tcBorders>
            <w:vAlign w:val="center"/>
          </w:tcPr>
          <w:p>
            <w:pPr>
              <w:pStyle w:val="18"/>
              <w:spacing w:line="360" w:lineRule="exact"/>
              <w:jc w:val="center"/>
              <w:rPr>
                <w:rFonts w:hint="eastAsia" w:ascii="宋体" w:hAnsi="宋体" w:eastAsia="宋体" w:cs="宋体"/>
              </w:rPr>
            </w:pPr>
            <w:r>
              <w:rPr>
                <w:rFonts w:hint="eastAsia" w:ascii="宋体" w:hAnsi="宋体" w:eastAsia="宋体" w:cs="宋体"/>
              </w:rPr>
              <w:t>签字或盖章要求</w:t>
            </w:r>
          </w:p>
        </w:tc>
        <w:tc>
          <w:tcPr>
            <w:tcW w:w="6237" w:type="dxa"/>
            <w:tcBorders>
              <w:top w:val="single" w:color="auto" w:sz="4" w:space="0"/>
              <w:left w:val="single" w:color="auto" w:sz="4" w:space="0"/>
              <w:bottom w:val="single" w:color="auto" w:sz="4" w:space="0"/>
              <w:right w:val="single" w:color="auto" w:sz="4" w:space="0"/>
            </w:tcBorders>
            <w:vAlign w:val="center"/>
          </w:tcPr>
          <w:p>
            <w:pPr>
              <w:pStyle w:val="18"/>
              <w:spacing w:line="360" w:lineRule="exact"/>
              <w:jc w:val="left"/>
              <w:rPr>
                <w:rFonts w:hint="eastAsia" w:ascii="宋体" w:hAnsi="宋体" w:eastAsia="宋体" w:cs="宋体"/>
              </w:rPr>
            </w:pPr>
            <w:r>
              <w:rPr>
                <w:rFonts w:hint="eastAsia" w:ascii="宋体" w:hAnsi="宋体" w:eastAsia="宋体" w:cs="宋体"/>
              </w:rPr>
              <w:t>本项修改为：（1）比选申请人单位章内容必须与单位营业执照名称一致。</w:t>
            </w:r>
          </w:p>
          <w:p>
            <w:pPr>
              <w:pStyle w:val="18"/>
              <w:spacing w:line="360" w:lineRule="exact"/>
              <w:jc w:val="left"/>
              <w:rPr>
                <w:rFonts w:hint="eastAsia" w:ascii="宋体" w:hAnsi="宋体" w:eastAsia="宋体" w:cs="宋体"/>
              </w:rPr>
            </w:pPr>
            <w:r>
              <w:rPr>
                <w:rFonts w:hint="eastAsia" w:ascii="宋体" w:hAnsi="宋体" w:eastAsia="宋体" w:cs="宋体"/>
              </w:rPr>
              <w:t>（2）法定代表人或其委托代理人必须在比选申请文件格式要求签署的地方亲自签署，并不得用印章、签名章或电子制版签名。</w:t>
            </w:r>
          </w:p>
          <w:p>
            <w:pPr>
              <w:pStyle w:val="18"/>
              <w:spacing w:line="360" w:lineRule="exact"/>
              <w:jc w:val="left"/>
              <w:rPr>
                <w:rFonts w:hint="eastAsia" w:ascii="宋体" w:hAnsi="宋体" w:eastAsia="宋体" w:cs="宋体"/>
              </w:rPr>
            </w:pPr>
            <w:r>
              <w:rPr>
                <w:rFonts w:hint="eastAsia" w:ascii="宋体" w:hAnsi="宋体" w:eastAsia="宋体" w:cs="宋体"/>
              </w:rPr>
              <w:t>（3）比选申请文件格式中所有要求盖章的地方都须盖比选申请人单位章（法定名称），不得使用专用印章。</w:t>
            </w:r>
          </w:p>
          <w:p>
            <w:pPr>
              <w:pStyle w:val="18"/>
              <w:spacing w:line="360" w:lineRule="exact"/>
              <w:jc w:val="left"/>
              <w:rPr>
                <w:rFonts w:hint="eastAsia" w:ascii="宋体" w:hAnsi="宋体" w:eastAsia="宋体" w:cs="宋体"/>
              </w:rPr>
            </w:pPr>
            <w:r>
              <w:rPr>
                <w:rFonts w:hint="eastAsia" w:ascii="宋体" w:hAnsi="宋体" w:eastAsia="宋体" w:cs="宋体"/>
              </w:rPr>
              <w:t>（4）比选申请文件中的任何改动之处应加盖单位公章或由比选申请人的法定代表人或其委托代理人签字确认。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59" w:type="dxa"/>
            <w:tcBorders>
              <w:top w:val="single" w:color="auto" w:sz="4" w:space="0"/>
              <w:left w:val="single" w:color="auto" w:sz="4" w:space="0"/>
              <w:bottom w:val="single" w:color="auto" w:sz="4" w:space="0"/>
              <w:right w:val="single" w:color="auto" w:sz="4" w:space="0"/>
            </w:tcBorders>
            <w:vAlign w:val="center"/>
          </w:tcPr>
          <w:p>
            <w:pPr>
              <w:pStyle w:val="18"/>
              <w:spacing w:line="360" w:lineRule="exact"/>
              <w:jc w:val="center"/>
              <w:rPr>
                <w:rFonts w:hint="eastAsia" w:ascii="宋体" w:hAnsi="宋体" w:eastAsia="宋体" w:cs="宋体"/>
              </w:rPr>
            </w:pPr>
            <w:r>
              <w:rPr>
                <w:rFonts w:hint="eastAsia" w:ascii="宋体" w:hAnsi="宋体" w:eastAsia="宋体" w:cs="宋体"/>
              </w:rPr>
              <w:t>22</w:t>
            </w:r>
          </w:p>
        </w:tc>
        <w:tc>
          <w:tcPr>
            <w:tcW w:w="1984" w:type="dxa"/>
            <w:tcBorders>
              <w:top w:val="single" w:color="auto" w:sz="4" w:space="0"/>
              <w:left w:val="single" w:color="auto" w:sz="4" w:space="0"/>
              <w:bottom w:val="single" w:color="auto" w:sz="4" w:space="0"/>
              <w:right w:val="single" w:color="auto" w:sz="4" w:space="0"/>
            </w:tcBorders>
            <w:vAlign w:val="center"/>
          </w:tcPr>
          <w:p>
            <w:pPr>
              <w:pStyle w:val="18"/>
              <w:spacing w:line="360" w:lineRule="exact"/>
              <w:jc w:val="center"/>
              <w:rPr>
                <w:rFonts w:hint="eastAsia" w:ascii="宋体" w:hAnsi="宋体" w:eastAsia="宋体" w:cs="宋体"/>
              </w:rPr>
            </w:pPr>
            <w:r>
              <w:rPr>
                <w:rFonts w:hint="eastAsia" w:ascii="宋体" w:hAnsi="宋体" w:eastAsia="宋体" w:cs="宋体"/>
              </w:rPr>
              <w:t>比选申请文件份数</w:t>
            </w:r>
          </w:p>
        </w:tc>
        <w:tc>
          <w:tcPr>
            <w:tcW w:w="6237" w:type="dxa"/>
            <w:tcBorders>
              <w:top w:val="single" w:color="auto" w:sz="4" w:space="0"/>
              <w:left w:val="single" w:color="auto" w:sz="4" w:space="0"/>
              <w:bottom w:val="single" w:color="auto" w:sz="4" w:space="0"/>
              <w:right w:val="single" w:color="auto" w:sz="4" w:space="0"/>
            </w:tcBorders>
            <w:vAlign w:val="center"/>
          </w:tcPr>
          <w:p>
            <w:pPr>
              <w:pStyle w:val="18"/>
              <w:spacing w:line="360" w:lineRule="exact"/>
              <w:jc w:val="left"/>
              <w:rPr>
                <w:rFonts w:hint="eastAsia" w:ascii="宋体" w:hAnsi="宋体" w:eastAsia="宋体" w:cs="宋体"/>
                <w:lang w:eastAsia="zh-CN"/>
              </w:rPr>
            </w:pPr>
            <w:r>
              <w:rPr>
                <w:rFonts w:hint="eastAsia" w:ascii="宋体" w:hAnsi="宋体" w:eastAsia="宋体" w:cs="宋体"/>
              </w:rPr>
              <w:t>正本1份，副本1份</w:t>
            </w:r>
            <w:r>
              <w:rPr>
                <w:rFonts w:hint="eastAsia" w:ascii="宋体" w:hAnsi="宋体" w:eastAsia="宋体" w:cs="宋体"/>
                <w:lang w:eastAsia="zh-CN"/>
              </w:rPr>
              <w:t>，当正本与副本不一致时，以正本为准。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959" w:type="dxa"/>
            <w:tcBorders>
              <w:top w:val="single" w:color="auto" w:sz="4" w:space="0"/>
              <w:left w:val="single" w:color="auto" w:sz="4" w:space="0"/>
              <w:bottom w:val="single" w:color="auto" w:sz="4" w:space="0"/>
              <w:right w:val="single" w:color="auto" w:sz="4" w:space="0"/>
            </w:tcBorders>
            <w:vAlign w:val="center"/>
          </w:tcPr>
          <w:p>
            <w:pPr>
              <w:pStyle w:val="18"/>
              <w:spacing w:line="360" w:lineRule="exact"/>
              <w:jc w:val="center"/>
              <w:rPr>
                <w:rFonts w:hint="eastAsia" w:ascii="宋体" w:hAnsi="宋体" w:eastAsia="宋体" w:cs="宋体"/>
              </w:rPr>
            </w:pPr>
            <w:r>
              <w:rPr>
                <w:rFonts w:hint="eastAsia" w:ascii="宋体" w:hAnsi="宋体" w:eastAsia="宋体" w:cs="宋体"/>
              </w:rPr>
              <w:t>23</w:t>
            </w:r>
          </w:p>
        </w:tc>
        <w:tc>
          <w:tcPr>
            <w:tcW w:w="1984" w:type="dxa"/>
            <w:tcBorders>
              <w:top w:val="single" w:color="auto" w:sz="4" w:space="0"/>
              <w:left w:val="single" w:color="auto" w:sz="4" w:space="0"/>
              <w:bottom w:val="single" w:color="auto" w:sz="4" w:space="0"/>
              <w:right w:val="single" w:color="auto" w:sz="4" w:space="0"/>
            </w:tcBorders>
            <w:vAlign w:val="center"/>
          </w:tcPr>
          <w:p>
            <w:pPr>
              <w:pStyle w:val="18"/>
              <w:spacing w:line="360" w:lineRule="exact"/>
              <w:jc w:val="center"/>
              <w:rPr>
                <w:rFonts w:hint="eastAsia" w:ascii="宋体" w:hAnsi="宋体" w:eastAsia="宋体" w:cs="宋体"/>
              </w:rPr>
            </w:pPr>
            <w:r>
              <w:rPr>
                <w:rFonts w:hint="eastAsia" w:ascii="宋体" w:hAnsi="宋体" w:eastAsia="宋体" w:cs="宋体"/>
              </w:rPr>
              <w:t>装订、密封要求</w:t>
            </w:r>
          </w:p>
        </w:tc>
        <w:tc>
          <w:tcPr>
            <w:tcW w:w="6237" w:type="dxa"/>
            <w:tcBorders>
              <w:top w:val="single" w:color="auto" w:sz="4" w:space="0"/>
              <w:left w:val="single" w:color="auto" w:sz="4" w:space="0"/>
              <w:bottom w:val="single" w:color="auto" w:sz="4" w:space="0"/>
              <w:right w:val="single" w:color="auto" w:sz="4" w:space="0"/>
            </w:tcBorders>
            <w:vAlign w:val="center"/>
          </w:tcPr>
          <w:p>
            <w:pPr>
              <w:pStyle w:val="18"/>
              <w:spacing w:line="360" w:lineRule="exact"/>
              <w:jc w:val="left"/>
              <w:rPr>
                <w:rFonts w:hint="eastAsia" w:ascii="宋体" w:hAnsi="宋体" w:eastAsia="宋体" w:cs="宋体"/>
                <w:szCs w:val="21"/>
              </w:rPr>
            </w:pPr>
            <w:r>
              <w:rPr>
                <w:rFonts w:hint="eastAsia" w:ascii="宋体" w:hAnsi="宋体" w:eastAsia="宋体" w:cs="宋体"/>
                <w:szCs w:val="21"/>
              </w:rPr>
              <w:t>比选文件的正本和副本应采用胶装方式左侧装订，不得采用活页夹的可随时拆换的方式装订，不得有零散页。比选文件应按照“比选文件格式”的目录次序装订。比选文件正副本密封于比选文件袋内。</w:t>
            </w:r>
          </w:p>
          <w:p>
            <w:pPr>
              <w:pStyle w:val="18"/>
              <w:spacing w:line="360" w:lineRule="exact"/>
              <w:jc w:val="left"/>
              <w:rPr>
                <w:rFonts w:hint="eastAsia" w:ascii="宋体" w:hAnsi="宋体" w:eastAsia="宋体" w:cs="宋体"/>
                <w:szCs w:val="21"/>
              </w:rPr>
            </w:pPr>
            <w:r>
              <w:rPr>
                <w:rFonts w:hint="eastAsia" w:ascii="宋体" w:hAnsi="宋体" w:eastAsia="宋体" w:cs="宋体"/>
                <w:szCs w:val="21"/>
              </w:rPr>
              <w:t>1．第一个信封套：</w:t>
            </w:r>
          </w:p>
          <w:p>
            <w:pPr>
              <w:pStyle w:val="18"/>
              <w:spacing w:line="360" w:lineRule="exact"/>
              <w:jc w:val="left"/>
              <w:rPr>
                <w:rFonts w:hint="eastAsia" w:ascii="宋体" w:hAnsi="宋体" w:eastAsia="宋体" w:cs="宋体"/>
                <w:szCs w:val="21"/>
              </w:rPr>
            </w:pPr>
            <w:r>
              <w:rPr>
                <w:rFonts w:hint="eastAsia" w:ascii="宋体" w:hAnsi="宋体" w:eastAsia="宋体" w:cs="宋体"/>
                <w:szCs w:val="21"/>
              </w:rPr>
              <w:t>（项目名称）   比选申请文件第一个信封（商务及技术文件）</w:t>
            </w:r>
          </w:p>
          <w:p>
            <w:pPr>
              <w:pStyle w:val="18"/>
              <w:spacing w:line="360" w:lineRule="exact"/>
              <w:jc w:val="left"/>
              <w:rPr>
                <w:rFonts w:hint="eastAsia" w:ascii="宋体" w:hAnsi="宋体" w:eastAsia="宋体" w:cs="宋体"/>
                <w:szCs w:val="21"/>
              </w:rPr>
            </w:pPr>
            <w:r>
              <w:rPr>
                <w:rFonts w:hint="eastAsia" w:ascii="宋体" w:hAnsi="宋体" w:eastAsia="宋体" w:cs="宋体"/>
                <w:szCs w:val="21"/>
              </w:rPr>
              <w:t>在     年    月     日     时     分前不得开启</w:t>
            </w:r>
          </w:p>
          <w:p>
            <w:pPr>
              <w:pStyle w:val="18"/>
              <w:spacing w:line="360" w:lineRule="exact"/>
              <w:jc w:val="left"/>
              <w:rPr>
                <w:rFonts w:hint="eastAsia" w:ascii="宋体" w:hAnsi="宋体" w:eastAsia="宋体" w:cs="宋体"/>
                <w:szCs w:val="21"/>
              </w:rPr>
            </w:pPr>
            <w:r>
              <w:rPr>
                <w:rFonts w:hint="eastAsia" w:ascii="宋体" w:hAnsi="宋体" w:eastAsia="宋体" w:cs="宋体"/>
                <w:szCs w:val="21"/>
              </w:rPr>
              <w:t xml:space="preserve">申请人名称：                        </w:t>
            </w:r>
          </w:p>
          <w:p>
            <w:pPr>
              <w:pStyle w:val="18"/>
              <w:spacing w:line="360" w:lineRule="exact"/>
              <w:jc w:val="left"/>
              <w:rPr>
                <w:rFonts w:hint="eastAsia" w:ascii="宋体" w:hAnsi="宋体" w:eastAsia="宋体" w:cs="宋体"/>
                <w:szCs w:val="21"/>
              </w:rPr>
            </w:pPr>
            <w:r>
              <w:rPr>
                <w:rFonts w:hint="eastAsia" w:ascii="宋体" w:hAnsi="宋体" w:eastAsia="宋体" w:cs="宋体"/>
                <w:szCs w:val="21"/>
              </w:rPr>
              <w:t>2.第二信封套：</w:t>
            </w:r>
          </w:p>
          <w:p>
            <w:pPr>
              <w:pStyle w:val="18"/>
              <w:spacing w:line="360" w:lineRule="exact"/>
              <w:jc w:val="left"/>
              <w:rPr>
                <w:rFonts w:hint="eastAsia" w:ascii="宋体" w:hAnsi="宋体" w:eastAsia="宋体" w:cs="宋体"/>
                <w:szCs w:val="21"/>
              </w:rPr>
            </w:pPr>
            <w:r>
              <w:rPr>
                <w:rFonts w:hint="eastAsia" w:ascii="宋体" w:hAnsi="宋体" w:eastAsia="宋体" w:cs="宋体"/>
                <w:szCs w:val="21"/>
              </w:rPr>
              <w:t>（项目名称）比选申请文件</w:t>
            </w:r>
          </w:p>
          <w:p>
            <w:pPr>
              <w:pStyle w:val="18"/>
              <w:spacing w:line="360" w:lineRule="exact"/>
              <w:jc w:val="left"/>
              <w:rPr>
                <w:rFonts w:hint="eastAsia" w:ascii="宋体" w:hAnsi="宋体" w:eastAsia="宋体" w:cs="宋体"/>
                <w:szCs w:val="21"/>
              </w:rPr>
            </w:pPr>
            <w:r>
              <w:rPr>
                <w:rFonts w:hint="eastAsia" w:ascii="宋体" w:hAnsi="宋体" w:eastAsia="宋体" w:cs="宋体"/>
                <w:szCs w:val="21"/>
              </w:rPr>
              <w:t>第二个信封（报价文件）</w:t>
            </w:r>
          </w:p>
          <w:p>
            <w:pPr>
              <w:pStyle w:val="18"/>
              <w:spacing w:line="360" w:lineRule="exact"/>
              <w:jc w:val="left"/>
              <w:rPr>
                <w:rFonts w:hint="eastAsia" w:ascii="宋体" w:hAnsi="宋体" w:eastAsia="宋体" w:cs="宋体"/>
                <w:szCs w:val="21"/>
              </w:rPr>
            </w:pPr>
            <w:r>
              <w:rPr>
                <w:rFonts w:hint="eastAsia" w:ascii="宋体" w:hAnsi="宋体" w:eastAsia="宋体" w:cs="宋体"/>
                <w:szCs w:val="21"/>
              </w:rPr>
              <w:t>在     年    月     日     时    分前不得开启</w:t>
            </w:r>
          </w:p>
          <w:p>
            <w:pPr>
              <w:pStyle w:val="18"/>
              <w:spacing w:line="360" w:lineRule="exact"/>
              <w:jc w:val="left"/>
              <w:rPr>
                <w:rFonts w:hint="eastAsia" w:ascii="宋体" w:hAnsi="宋体" w:eastAsia="宋体" w:cs="宋体"/>
                <w:szCs w:val="21"/>
              </w:rPr>
            </w:pPr>
            <w:r>
              <w:rPr>
                <w:rFonts w:hint="eastAsia" w:ascii="宋体" w:hAnsi="宋体" w:eastAsia="宋体" w:cs="宋体"/>
                <w:szCs w:val="21"/>
              </w:rPr>
              <w:t xml:space="preserve">比选申请人名称：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59" w:type="dxa"/>
            <w:tcBorders>
              <w:top w:val="single" w:color="auto" w:sz="4" w:space="0"/>
              <w:left w:val="single" w:color="auto" w:sz="4" w:space="0"/>
              <w:bottom w:val="single" w:color="auto" w:sz="4" w:space="0"/>
              <w:right w:val="single" w:color="auto" w:sz="4" w:space="0"/>
            </w:tcBorders>
            <w:vAlign w:val="center"/>
          </w:tcPr>
          <w:p>
            <w:pPr>
              <w:pStyle w:val="18"/>
              <w:spacing w:line="360" w:lineRule="exact"/>
              <w:jc w:val="center"/>
              <w:rPr>
                <w:rFonts w:hint="eastAsia" w:ascii="宋体" w:hAnsi="宋体" w:eastAsia="宋体" w:cs="宋体"/>
              </w:rPr>
            </w:pPr>
            <w:r>
              <w:rPr>
                <w:rFonts w:hint="eastAsia" w:ascii="宋体" w:hAnsi="宋体" w:eastAsia="宋体" w:cs="宋体"/>
              </w:rPr>
              <w:t>24</w:t>
            </w:r>
          </w:p>
        </w:tc>
        <w:tc>
          <w:tcPr>
            <w:tcW w:w="1984" w:type="dxa"/>
            <w:tcBorders>
              <w:top w:val="single" w:color="auto" w:sz="4" w:space="0"/>
              <w:left w:val="single" w:color="auto" w:sz="4" w:space="0"/>
              <w:bottom w:val="single" w:color="auto" w:sz="4" w:space="0"/>
              <w:right w:val="single" w:color="auto" w:sz="4" w:space="0"/>
            </w:tcBorders>
            <w:vAlign w:val="center"/>
          </w:tcPr>
          <w:p>
            <w:pPr>
              <w:pStyle w:val="18"/>
              <w:spacing w:line="360" w:lineRule="exact"/>
              <w:jc w:val="center"/>
              <w:rPr>
                <w:rFonts w:hint="eastAsia" w:ascii="宋体" w:hAnsi="宋体" w:eastAsia="宋体" w:cs="宋体"/>
              </w:rPr>
            </w:pPr>
            <w:r>
              <w:rPr>
                <w:rFonts w:hint="eastAsia" w:ascii="宋体" w:hAnsi="宋体" w:eastAsia="宋体" w:cs="宋体"/>
              </w:rPr>
              <w:t>是否退还比选申请文件</w:t>
            </w:r>
          </w:p>
        </w:tc>
        <w:tc>
          <w:tcPr>
            <w:tcW w:w="6237" w:type="dxa"/>
            <w:tcBorders>
              <w:top w:val="single" w:color="auto" w:sz="4" w:space="0"/>
              <w:left w:val="single" w:color="auto" w:sz="4" w:space="0"/>
              <w:bottom w:val="single" w:color="auto" w:sz="4" w:space="0"/>
              <w:right w:val="single" w:color="auto" w:sz="4" w:space="0"/>
            </w:tcBorders>
            <w:vAlign w:val="center"/>
          </w:tcPr>
          <w:p>
            <w:pPr>
              <w:pStyle w:val="18"/>
              <w:spacing w:line="360" w:lineRule="exact"/>
              <w:jc w:val="left"/>
              <w:rPr>
                <w:rFonts w:hint="eastAsia" w:ascii="宋体" w:hAnsi="宋体" w:eastAsia="宋体" w:cs="宋体"/>
              </w:rPr>
            </w:pPr>
            <w:r>
              <w:rPr>
                <w:rFonts w:hint="eastAsia" w:ascii="宋体" w:hAnsi="宋体" w:eastAsia="宋体" w:cs="宋体"/>
              </w:rPr>
              <w:t>当比选申请人少于3个（不含3个）将不予开标，原封退还。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59" w:type="dxa"/>
            <w:vAlign w:val="center"/>
          </w:tcPr>
          <w:p>
            <w:pPr>
              <w:pStyle w:val="18"/>
              <w:spacing w:line="360" w:lineRule="exact"/>
              <w:jc w:val="center"/>
              <w:rPr>
                <w:rFonts w:hint="eastAsia" w:ascii="宋体" w:hAnsi="宋体" w:eastAsia="宋体" w:cs="宋体"/>
              </w:rPr>
            </w:pPr>
            <w:r>
              <w:rPr>
                <w:rFonts w:hint="eastAsia" w:ascii="宋体" w:hAnsi="宋体" w:eastAsia="宋体" w:cs="宋体"/>
              </w:rPr>
              <w:t>25</w:t>
            </w:r>
          </w:p>
        </w:tc>
        <w:tc>
          <w:tcPr>
            <w:tcW w:w="1984" w:type="dxa"/>
            <w:vAlign w:val="center"/>
          </w:tcPr>
          <w:p>
            <w:pPr>
              <w:pStyle w:val="18"/>
              <w:spacing w:line="360" w:lineRule="exact"/>
              <w:jc w:val="center"/>
              <w:rPr>
                <w:rFonts w:hint="eastAsia" w:ascii="宋体" w:hAnsi="宋体" w:eastAsia="宋体" w:cs="宋体"/>
              </w:rPr>
            </w:pPr>
            <w:r>
              <w:rPr>
                <w:rFonts w:hint="eastAsia" w:ascii="宋体" w:hAnsi="宋体" w:eastAsia="宋体" w:cs="宋体"/>
              </w:rPr>
              <w:t>评标委员会的组建</w:t>
            </w:r>
          </w:p>
        </w:tc>
        <w:tc>
          <w:tcPr>
            <w:tcW w:w="6237" w:type="dxa"/>
            <w:vAlign w:val="center"/>
          </w:tcPr>
          <w:p>
            <w:pPr>
              <w:pStyle w:val="18"/>
              <w:spacing w:line="360" w:lineRule="exact"/>
              <w:rPr>
                <w:rFonts w:hint="eastAsia" w:ascii="宋体" w:hAnsi="宋体" w:eastAsia="宋体" w:cs="宋体"/>
              </w:rPr>
            </w:pPr>
            <w:r>
              <w:rPr>
                <w:rFonts w:hint="eastAsia" w:ascii="宋体" w:hAnsi="宋体" w:eastAsia="宋体" w:cs="宋体"/>
              </w:rPr>
              <w:t>评标委员会构成：</w:t>
            </w:r>
            <w:r>
              <w:rPr>
                <w:rFonts w:hint="eastAsia" w:ascii="宋体" w:hAnsi="宋体" w:eastAsia="宋体" w:cs="宋体"/>
                <w:u w:val="single"/>
                <w:lang w:val="en-US" w:eastAsia="zh-CN"/>
              </w:rPr>
              <w:t>5</w:t>
            </w:r>
            <w:r>
              <w:rPr>
                <w:rFonts w:hint="eastAsia" w:ascii="宋体" w:hAnsi="宋体" w:eastAsia="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59" w:type="dxa"/>
            <w:vAlign w:val="center"/>
          </w:tcPr>
          <w:p>
            <w:pPr>
              <w:pStyle w:val="18"/>
              <w:spacing w:line="240" w:lineRule="auto"/>
              <w:ind w:firstLine="0" w:firstLineChars="0"/>
              <w:jc w:val="center"/>
              <w:rPr>
                <w:rFonts w:hint="eastAsia" w:ascii="宋体" w:hAnsi="宋体" w:eastAsia="宋体" w:cs="宋体"/>
              </w:rPr>
            </w:pPr>
            <w:r>
              <w:rPr>
                <w:rFonts w:hint="eastAsia" w:cs="仿宋" w:asciiTheme="minorEastAsia" w:hAnsiTheme="minorEastAsia" w:eastAsiaTheme="minorEastAsia"/>
                <w:sz w:val="21"/>
                <w:szCs w:val="21"/>
                <w:lang w:val="en-US" w:eastAsia="zh-CN"/>
              </w:rPr>
              <w:t>25.1</w:t>
            </w:r>
          </w:p>
        </w:tc>
        <w:tc>
          <w:tcPr>
            <w:tcW w:w="1984" w:type="dxa"/>
            <w:vAlign w:val="center"/>
          </w:tcPr>
          <w:p>
            <w:pPr>
              <w:pStyle w:val="2"/>
              <w:spacing w:after="0" w:line="240" w:lineRule="auto"/>
              <w:ind w:left="0" w:leftChars="0" w:firstLine="0" w:firstLineChars="0"/>
              <w:jc w:val="center"/>
              <w:rPr>
                <w:rFonts w:hint="eastAsia" w:ascii="宋体" w:hAnsi="宋体" w:eastAsia="宋体" w:cs="宋体"/>
                <w:sz w:val="20"/>
              </w:rPr>
            </w:pPr>
            <w:r>
              <w:rPr>
                <w:rFonts w:hint="eastAsia" w:ascii="宋体" w:hAnsi="宋体" w:eastAsia="宋体" w:cs="宋体"/>
                <w:sz w:val="20"/>
                <w:szCs w:val="20"/>
              </w:rPr>
              <w:t>第一信封（商务及技术文件）开标程序</w:t>
            </w:r>
          </w:p>
        </w:tc>
        <w:tc>
          <w:tcPr>
            <w:tcW w:w="6237" w:type="dxa"/>
            <w:vAlign w:val="center"/>
          </w:tcPr>
          <w:p>
            <w:pPr>
              <w:pStyle w:val="1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以下内容细化为：</w:t>
            </w:r>
          </w:p>
          <w:p>
            <w:pPr>
              <w:pStyle w:val="18"/>
              <w:keepNext w:val="0"/>
              <w:keepLines w:val="0"/>
              <w:pageBreakBefore w:val="0"/>
              <w:kinsoku/>
              <w:wordWrap/>
              <w:overflowPunct/>
              <w:topLinePunct w:val="0"/>
              <w:bidi w:val="0"/>
              <w:adjustRightInd w:val="0"/>
              <w:snapToGrid w:val="0"/>
              <w:spacing w:line="240" w:lineRule="auto"/>
              <w:ind w:firstLine="400" w:firstLineChars="200"/>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密封情况检查：由现场监督和参会</w:t>
            </w:r>
            <w:r>
              <w:rPr>
                <w:rFonts w:hint="eastAsia" w:ascii="宋体" w:hAnsi="宋体" w:eastAsia="宋体" w:cs="宋体"/>
                <w:sz w:val="20"/>
                <w:szCs w:val="20"/>
                <w:lang w:val="en-US" w:eastAsia="zh-CN"/>
              </w:rPr>
              <w:t>比选申请</w:t>
            </w:r>
            <w:r>
              <w:rPr>
                <w:rFonts w:hint="eastAsia" w:ascii="宋体" w:hAnsi="宋体" w:eastAsia="宋体" w:cs="宋体"/>
                <w:kern w:val="2"/>
                <w:sz w:val="20"/>
                <w:szCs w:val="20"/>
                <w:lang w:val="en-US" w:eastAsia="zh-CN" w:bidi="ar-SA"/>
              </w:rPr>
              <w:t>人的代表检查所递交的</w:t>
            </w:r>
            <w:r>
              <w:rPr>
                <w:rFonts w:hint="eastAsia" w:ascii="宋体" w:hAnsi="宋体" w:eastAsia="宋体" w:cs="宋体"/>
                <w:sz w:val="20"/>
                <w:szCs w:val="20"/>
                <w:lang w:val="en-US" w:eastAsia="zh-CN"/>
              </w:rPr>
              <w:t>比选申请</w:t>
            </w:r>
            <w:r>
              <w:rPr>
                <w:rFonts w:hint="eastAsia" w:ascii="宋体" w:hAnsi="宋体" w:eastAsia="宋体" w:cs="宋体"/>
                <w:kern w:val="2"/>
                <w:sz w:val="20"/>
                <w:szCs w:val="20"/>
                <w:lang w:val="en-US" w:eastAsia="zh-CN" w:bidi="ar-SA"/>
              </w:rPr>
              <w:t>文件是否存在提前开启情况，当比选申请文件未按比选申请人须知前附表第23款密封时，将当场确认，不予开标，原封退还；</w:t>
            </w:r>
          </w:p>
          <w:p>
            <w:pPr>
              <w:pStyle w:val="18"/>
              <w:keepNext w:val="0"/>
              <w:keepLines w:val="0"/>
              <w:pageBreakBefore w:val="0"/>
              <w:kinsoku/>
              <w:wordWrap/>
              <w:overflowPunct/>
              <w:topLinePunct w:val="0"/>
              <w:bidi w:val="0"/>
              <w:adjustRightInd w:val="0"/>
              <w:snapToGrid w:val="0"/>
              <w:spacing w:line="240" w:lineRule="auto"/>
              <w:ind w:firstLine="400" w:firstLineChars="200"/>
              <w:rPr>
                <w:rFonts w:hint="eastAsia" w:ascii="宋体" w:hAnsi="宋体" w:eastAsia="宋体" w:cs="宋体"/>
              </w:rPr>
            </w:pPr>
            <w:r>
              <w:rPr>
                <w:rFonts w:hint="eastAsia" w:ascii="宋体" w:hAnsi="宋体" w:eastAsia="宋体" w:cs="宋体"/>
                <w:kern w:val="2"/>
                <w:sz w:val="20"/>
                <w:szCs w:val="20"/>
                <w:lang w:val="en-US" w:eastAsia="zh-CN" w:bidi="ar-SA"/>
              </w:rPr>
              <w:t>开标顺序：随机，当标段</w:t>
            </w:r>
            <w:r>
              <w:rPr>
                <w:rFonts w:hint="eastAsia" w:ascii="宋体" w:hAnsi="宋体" w:eastAsia="宋体" w:cs="宋体"/>
                <w:sz w:val="20"/>
                <w:szCs w:val="20"/>
                <w:lang w:val="en-US" w:eastAsia="zh-CN"/>
              </w:rPr>
              <w:t>比选申请</w:t>
            </w:r>
            <w:r>
              <w:rPr>
                <w:rFonts w:hint="eastAsia" w:ascii="宋体" w:hAnsi="宋体" w:eastAsia="宋体" w:cs="宋体"/>
                <w:kern w:val="2"/>
                <w:sz w:val="20"/>
                <w:szCs w:val="20"/>
                <w:lang w:val="en-US" w:eastAsia="zh-CN" w:bidi="ar-SA"/>
              </w:rPr>
              <w:t>人少于3个（不含3个）将不予开标，当场原封退还</w:t>
            </w:r>
            <w:r>
              <w:rPr>
                <w:rFonts w:hint="eastAsia" w:ascii="宋体" w:hAnsi="宋体" w:eastAsia="宋体" w:cs="宋体"/>
                <w:sz w:val="20"/>
                <w:szCs w:val="20"/>
                <w:lang w:val="en-US" w:eastAsia="zh-CN"/>
              </w:rPr>
              <w:t>比选申请</w:t>
            </w:r>
            <w:r>
              <w:rPr>
                <w:rFonts w:hint="eastAsia" w:ascii="宋体" w:hAnsi="宋体" w:eastAsia="宋体" w:cs="宋体"/>
                <w:kern w:val="2"/>
                <w:sz w:val="20"/>
                <w:szCs w:val="20"/>
                <w:lang w:val="en-US" w:eastAsia="zh-CN" w:bidi="ar-S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59" w:type="dxa"/>
            <w:vAlign w:val="center"/>
          </w:tcPr>
          <w:p>
            <w:pPr>
              <w:pStyle w:val="18"/>
              <w:spacing w:line="240" w:lineRule="auto"/>
              <w:ind w:firstLine="0" w:firstLineChars="0"/>
              <w:jc w:val="center"/>
              <w:rPr>
                <w:rFonts w:hint="eastAsia" w:ascii="宋体" w:hAnsi="宋体" w:eastAsia="宋体" w:cs="宋体"/>
              </w:rPr>
            </w:pPr>
            <w:r>
              <w:rPr>
                <w:rFonts w:hint="eastAsia" w:cs="仿宋" w:asciiTheme="minorEastAsia" w:hAnsiTheme="minorEastAsia" w:eastAsiaTheme="minorEastAsia"/>
                <w:sz w:val="21"/>
                <w:szCs w:val="21"/>
                <w:lang w:val="en-US" w:eastAsia="zh-CN"/>
              </w:rPr>
              <w:t>25.2</w:t>
            </w:r>
          </w:p>
        </w:tc>
        <w:tc>
          <w:tcPr>
            <w:tcW w:w="1984" w:type="dxa"/>
            <w:vAlign w:val="center"/>
          </w:tcPr>
          <w:p>
            <w:pPr>
              <w:pStyle w:val="1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第二个信封（报价文件）的处置</w:t>
            </w:r>
          </w:p>
        </w:tc>
        <w:tc>
          <w:tcPr>
            <w:tcW w:w="6237" w:type="dxa"/>
            <w:vAlign w:val="center"/>
          </w:tcPr>
          <w:p>
            <w:pPr>
              <w:pStyle w:val="14"/>
              <w:adjustRightInd w:val="0"/>
              <w:snapToGrid w:val="0"/>
              <w:spacing w:after="0"/>
              <w:ind w:firstLine="400" w:firstLineChars="200"/>
              <w:rPr>
                <w:rFonts w:hint="eastAsia" w:ascii="宋体" w:hAnsi="宋体" w:eastAsia="宋体" w:cs="宋体"/>
                <w:sz w:val="20"/>
                <w:szCs w:val="20"/>
              </w:rPr>
            </w:pPr>
            <w:r>
              <w:rPr>
                <w:rFonts w:hint="eastAsia" w:ascii="宋体" w:hAnsi="宋体" w:eastAsia="宋体" w:cs="宋体"/>
                <w:sz w:val="20"/>
                <w:szCs w:val="20"/>
              </w:rPr>
              <w:t>在第一个信封开标现场，对第二个信封不予拆封。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59" w:type="dxa"/>
            <w:vAlign w:val="center"/>
          </w:tcPr>
          <w:p>
            <w:pPr>
              <w:pStyle w:val="18"/>
              <w:spacing w:line="240" w:lineRule="auto"/>
              <w:ind w:firstLine="0" w:firstLineChars="0"/>
              <w:jc w:val="center"/>
              <w:rPr>
                <w:rFonts w:hint="eastAsia" w:ascii="宋体" w:hAnsi="宋体" w:eastAsia="宋体" w:cs="宋体"/>
              </w:rPr>
            </w:pPr>
            <w:r>
              <w:rPr>
                <w:rFonts w:hint="eastAsia" w:cs="仿宋" w:asciiTheme="minorEastAsia" w:hAnsiTheme="minorEastAsia" w:eastAsiaTheme="minorEastAsia"/>
                <w:sz w:val="21"/>
                <w:szCs w:val="21"/>
                <w:lang w:val="en-US" w:eastAsia="zh-CN"/>
              </w:rPr>
              <w:t>25.3</w:t>
            </w:r>
          </w:p>
        </w:tc>
        <w:tc>
          <w:tcPr>
            <w:tcW w:w="1984" w:type="dxa"/>
            <w:vAlign w:val="center"/>
          </w:tcPr>
          <w:p>
            <w:pPr>
              <w:pStyle w:val="1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第二个信封（报价文件）开标程序</w:t>
            </w:r>
          </w:p>
        </w:tc>
        <w:tc>
          <w:tcPr>
            <w:tcW w:w="6237" w:type="dxa"/>
            <w:vAlign w:val="center"/>
          </w:tcPr>
          <w:p>
            <w:pPr>
              <w:pStyle w:val="1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sz w:val="20"/>
                <w:szCs w:val="20"/>
              </w:rPr>
            </w:pPr>
            <w:r>
              <w:rPr>
                <w:rFonts w:hint="eastAsia" w:ascii="宋体" w:hAnsi="宋体" w:eastAsia="宋体" w:cs="宋体"/>
                <w:sz w:val="20"/>
                <w:szCs w:val="20"/>
              </w:rPr>
              <w:t>以下内容细化为：</w:t>
            </w:r>
          </w:p>
          <w:p>
            <w:pPr>
              <w:pStyle w:val="1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sz w:val="20"/>
                <w:szCs w:val="20"/>
              </w:rPr>
            </w:pPr>
            <w:r>
              <w:rPr>
                <w:rFonts w:hint="eastAsia" w:ascii="宋体" w:hAnsi="宋体" w:eastAsia="宋体" w:cs="宋体"/>
                <w:sz w:val="20"/>
                <w:szCs w:val="20"/>
              </w:rPr>
              <w:t>（</w:t>
            </w:r>
            <w:r>
              <w:rPr>
                <w:rFonts w:hint="eastAsia" w:ascii="宋体" w:hAnsi="宋体" w:eastAsia="宋体" w:cs="宋体"/>
                <w:sz w:val="20"/>
                <w:szCs w:val="20"/>
                <w:lang w:val="en-US" w:eastAsia="zh-CN"/>
              </w:rPr>
              <w:t>1</w:t>
            </w:r>
            <w:r>
              <w:rPr>
                <w:rFonts w:hint="eastAsia" w:ascii="宋体" w:hAnsi="宋体" w:eastAsia="宋体" w:cs="宋体"/>
                <w:sz w:val="20"/>
                <w:szCs w:val="20"/>
              </w:rPr>
              <w:t>）密封情况检查：由现场监督和参会</w:t>
            </w:r>
            <w:r>
              <w:rPr>
                <w:rFonts w:hint="eastAsia" w:ascii="宋体" w:hAnsi="宋体" w:eastAsia="宋体" w:cs="宋体"/>
                <w:sz w:val="20"/>
                <w:szCs w:val="20"/>
                <w:lang w:val="en-US" w:eastAsia="zh-CN"/>
              </w:rPr>
              <w:t>比选申请</w:t>
            </w:r>
            <w:r>
              <w:rPr>
                <w:rFonts w:hint="eastAsia" w:ascii="宋体" w:hAnsi="宋体" w:eastAsia="宋体" w:cs="宋体"/>
                <w:kern w:val="2"/>
                <w:sz w:val="20"/>
                <w:szCs w:val="20"/>
                <w:lang w:val="en-US" w:eastAsia="zh-CN" w:bidi="ar-SA"/>
              </w:rPr>
              <w:t>人</w:t>
            </w:r>
            <w:r>
              <w:rPr>
                <w:rFonts w:hint="eastAsia" w:ascii="宋体" w:hAnsi="宋体" w:eastAsia="宋体" w:cs="宋体"/>
                <w:sz w:val="20"/>
                <w:szCs w:val="20"/>
              </w:rPr>
              <w:t>的代表检查所递交的</w:t>
            </w:r>
            <w:r>
              <w:rPr>
                <w:rFonts w:hint="eastAsia" w:ascii="宋体" w:hAnsi="宋体" w:eastAsia="宋体" w:cs="宋体"/>
                <w:sz w:val="20"/>
                <w:szCs w:val="20"/>
                <w:lang w:val="en-US" w:eastAsia="zh-CN"/>
              </w:rPr>
              <w:t>比选申请</w:t>
            </w:r>
            <w:r>
              <w:rPr>
                <w:rFonts w:hint="eastAsia" w:ascii="宋体" w:hAnsi="宋体" w:eastAsia="宋体" w:cs="宋体"/>
                <w:sz w:val="20"/>
                <w:szCs w:val="20"/>
              </w:rPr>
              <w:t>文件是否存在提前开启情况；</w:t>
            </w:r>
          </w:p>
          <w:p>
            <w:pPr>
              <w:pStyle w:val="1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sz w:val="20"/>
                <w:szCs w:val="20"/>
              </w:rPr>
            </w:pPr>
            <w:r>
              <w:rPr>
                <w:rFonts w:hint="eastAsia" w:ascii="宋体" w:hAnsi="宋体" w:eastAsia="宋体" w:cs="宋体"/>
                <w:sz w:val="20"/>
                <w:szCs w:val="20"/>
              </w:rPr>
              <w:t>（</w:t>
            </w:r>
            <w:r>
              <w:rPr>
                <w:rFonts w:hint="eastAsia" w:ascii="宋体" w:hAnsi="宋体" w:eastAsia="宋体" w:cs="宋体"/>
                <w:sz w:val="20"/>
                <w:szCs w:val="20"/>
                <w:lang w:val="en-US" w:eastAsia="zh-CN"/>
              </w:rPr>
              <w:t>2</w:t>
            </w:r>
            <w:r>
              <w:rPr>
                <w:rFonts w:hint="eastAsia" w:ascii="宋体" w:hAnsi="宋体" w:eastAsia="宋体" w:cs="宋体"/>
                <w:sz w:val="20"/>
                <w:szCs w:val="20"/>
              </w:rPr>
              <w:t>）开标顺序：随机。开标人只拆封通过</w:t>
            </w:r>
            <w:r>
              <w:rPr>
                <w:rFonts w:hint="eastAsia" w:ascii="宋体" w:hAnsi="宋体" w:eastAsia="宋体" w:cs="宋体"/>
                <w:sz w:val="20"/>
                <w:szCs w:val="20"/>
                <w:lang w:val="en-US" w:eastAsia="zh-CN"/>
              </w:rPr>
              <w:t>比选申请</w:t>
            </w:r>
            <w:r>
              <w:rPr>
                <w:rFonts w:hint="eastAsia" w:ascii="宋体" w:hAnsi="宋体" w:eastAsia="宋体" w:cs="宋体"/>
                <w:sz w:val="20"/>
                <w:szCs w:val="20"/>
              </w:rPr>
              <w:t>文件第一个信封（商务及技术文件）评审的</w:t>
            </w:r>
            <w:r>
              <w:rPr>
                <w:rFonts w:hint="eastAsia" w:ascii="宋体" w:hAnsi="宋体" w:eastAsia="宋体" w:cs="宋体"/>
                <w:sz w:val="20"/>
                <w:szCs w:val="20"/>
                <w:lang w:val="en-US" w:eastAsia="zh-CN"/>
              </w:rPr>
              <w:t>比选申请</w:t>
            </w:r>
            <w:r>
              <w:rPr>
                <w:rFonts w:hint="eastAsia" w:ascii="宋体" w:hAnsi="宋体" w:eastAsia="宋体" w:cs="宋体"/>
                <w:sz w:val="20"/>
                <w:szCs w:val="20"/>
              </w:rPr>
              <w:t>文件第二个信封（报价文件），公布标段名称、</w:t>
            </w:r>
            <w:r>
              <w:rPr>
                <w:rFonts w:hint="eastAsia" w:ascii="宋体" w:hAnsi="宋体" w:eastAsia="宋体" w:cs="宋体"/>
                <w:sz w:val="20"/>
                <w:szCs w:val="20"/>
                <w:lang w:val="en-US" w:eastAsia="zh-CN"/>
              </w:rPr>
              <w:t>比选申请</w:t>
            </w:r>
            <w:r>
              <w:rPr>
                <w:rFonts w:hint="eastAsia" w:ascii="宋体" w:hAnsi="宋体" w:eastAsia="宋体" w:cs="宋体"/>
                <w:sz w:val="20"/>
                <w:szCs w:val="20"/>
              </w:rPr>
              <w:t>人名称、</w:t>
            </w:r>
            <w:r>
              <w:rPr>
                <w:rFonts w:hint="eastAsia" w:ascii="宋体" w:hAnsi="宋体" w:eastAsia="宋体" w:cs="宋体"/>
                <w:sz w:val="20"/>
                <w:szCs w:val="20"/>
                <w:lang w:val="en-US" w:eastAsia="zh-CN"/>
              </w:rPr>
              <w:t>比选申请</w:t>
            </w:r>
            <w:r>
              <w:rPr>
                <w:rFonts w:hint="eastAsia" w:ascii="宋体" w:hAnsi="宋体" w:eastAsia="宋体" w:cs="宋体"/>
                <w:sz w:val="20"/>
                <w:szCs w:val="20"/>
              </w:rPr>
              <w:t>报价及其他内容，并记录在案；</w:t>
            </w:r>
          </w:p>
          <w:p>
            <w:pPr>
              <w:pStyle w:val="1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sz w:val="20"/>
                <w:szCs w:val="20"/>
              </w:rPr>
            </w:pPr>
            <w:r>
              <w:rPr>
                <w:rFonts w:hint="eastAsia" w:ascii="宋体" w:hAnsi="宋体" w:eastAsia="宋体" w:cs="宋体"/>
                <w:sz w:val="20"/>
                <w:szCs w:val="20"/>
              </w:rPr>
              <w:t>（</w:t>
            </w:r>
            <w:r>
              <w:rPr>
                <w:rFonts w:hint="eastAsia" w:ascii="宋体" w:hAnsi="宋体" w:eastAsia="宋体" w:cs="宋体"/>
                <w:sz w:val="20"/>
                <w:szCs w:val="20"/>
                <w:lang w:val="en-US" w:eastAsia="zh-CN"/>
              </w:rPr>
              <w:t>3</w:t>
            </w:r>
            <w:r>
              <w:rPr>
                <w:rFonts w:hint="eastAsia" w:ascii="宋体" w:hAnsi="宋体" w:eastAsia="宋体" w:cs="宋体"/>
                <w:sz w:val="20"/>
                <w:szCs w:val="20"/>
              </w:rPr>
              <w:t>）计算并宣布评标基准价；</w:t>
            </w:r>
          </w:p>
          <w:p>
            <w:pPr>
              <w:pStyle w:val="1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sz w:val="20"/>
                <w:szCs w:val="20"/>
              </w:rPr>
            </w:pPr>
            <w:r>
              <w:rPr>
                <w:rFonts w:hint="eastAsia" w:ascii="宋体" w:hAnsi="宋体" w:eastAsia="宋体" w:cs="宋体"/>
                <w:sz w:val="20"/>
                <w:szCs w:val="20"/>
              </w:rPr>
              <w:t>（</w:t>
            </w:r>
            <w:r>
              <w:rPr>
                <w:rFonts w:hint="eastAsia" w:ascii="宋体" w:hAnsi="宋体" w:eastAsia="宋体" w:cs="宋体"/>
                <w:sz w:val="20"/>
                <w:szCs w:val="20"/>
                <w:lang w:val="en-US" w:eastAsia="zh-CN"/>
              </w:rPr>
              <w:t>4</w:t>
            </w:r>
            <w:r>
              <w:rPr>
                <w:rFonts w:hint="eastAsia" w:ascii="宋体" w:hAnsi="宋体" w:eastAsia="宋体" w:cs="宋体"/>
                <w:sz w:val="20"/>
                <w:szCs w:val="20"/>
              </w:rPr>
              <w:t>）未进入第二个信封启封名单的</w:t>
            </w:r>
            <w:r>
              <w:rPr>
                <w:rFonts w:hint="eastAsia" w:ascii="宋体" w:hAnsi="宋体" w:eastAsia="宋体" w:cs="宋体"/>
                <w:sz w:val="20"/>
                <w:szCs w:val="20"/>
                <w:lang w:val="en-US" w:eastAsia="zh-CN"/>
              </w:rPr>
              <w:t>比选申请</w:t>
            </w:r>
            <w:r>
              <w:rPr>
                <w:rFonts w:hint="eastAsia" w:ascii="宋体" w:hAnsi="宋体" w:eastAsia="宋体" w:cs="宋体"/>
                <w:sz w:val="20"/>
                <w:szCs w:val="20"/>
              </w:rPr>
              <w:t>人的第二个信封将不予开封，当场退还给</w:t>
            </w:r>
            <w:r>
              <w:rPr>
                <w:rFonts w:hint="eastAsia" w:ascii="宋体" w:hAnsi="宋体" w:eastAsia="宋体" w:cs="宋体"/>
                <w:sz w:val="20"/>
                <w:szCs w:val="20"/>
                <w:lang w:val="en-US" w:eastAsia="zh-CN"/>
              </w:rPr>
              <w:t>比选申请</w:t>
            </w:r>
            <w:r>
              <w:rPr>
                <w:rFonts w:hint="eastAsia" w:ascii="宋体" w:hAnsi="宋体" w:eastAsia="宋体" w:cs="宋体"/>
                <w:kern w:val="2"/>
                <w:sz w:val="20"/>
                <w:szCs w:val="20"/>
                <w:lang w:val="en-US" w:eastAsia="zh-CN" w:bidi="ar-SA"/>
              </w:rPr>
              <w:t>人</w:t>
            </w:r>
            <w:r>
              <w:rPr>
                <w:rFonts w:hint="eastAsia" w:ascii="宋体" w:hAnsi="宋体" w:eastAsia="宋体" w:cs="宋体"/>
                <w:sz w:val="20"/>
                <w:szCs w:val="20"/>
              </w:rPr>
              <w:t>。现场未领取退还</w:t>
            </w:r>
            <w:r>
              <w:rPr>
                <w:rFonts w:hint="eastAsia" w:ascii="宋体" w:hAnsi="宋体" w:eastAsia="宋体" w:cs="宋体"/>
                <w:sz w:val="20"/>
                <w:szCs w:val="20"/>
                <w:lang w:val="en-US" w:eastAsia="zh-CN"/>
              </w:rPr>
              <w:t>比选申请</w:t>
            </w:r>
            <w:r>
              <w:rPr>
                <w:rFonts w:hint="eastAsia" w:ascii="宋体" w:hAnsi="宋体" w:eastAsia="宋体" w:cs="宋体"/>
                <w:sz w:val="20"/>
                <w:szCs w:val="20"/>
              </w:rPr>
              <w:t>文件的</w:t>
            </w:r>
            <w:r>
              <w:rPr>
                <w:rFonts w:hint="eastAsia" w:ascii="宋体" w:hAnsi="宋体" w:eastAsia="宋体" w:cs="宋体"/>
                <w:sz w:val="20"/>
                <w:szCs w:val="20"/>
                <w:lang w:val="en-US" w:eastAsia="zh-CN"/>
              </w:rPr>
              <w:t>比选申请</w:t>
            </w:r>
            <w:r>
              <w:rPr>
                <w:rFonts w:hint="eastAsia" w:ascii="宋体" w:hAnsi="宋体" w:eastAsia="宋体" w:cs="宋体"/>
                <w:sz w:val="20"/>
                <w:szCs w:val="20"/>
              </w:rPr>
              <w:t>人或参加了第二个信封开标但未进行签字确认的</w:t>
            </w:r>
            <w:r>
              <w:rPr>
                <w:rFonts w:hint="eastAsia" w:ascii="宋体" w:hAnsi="宋体" w:eastAsia="宋体" w:cs="宋体"/>
                <w:sz w:val="20"/>
                <w:szCs w:val="20"/>
                <w:lang w:val="en-US" w:eastAsia="zh-CN"/>
              </w:rPr>
              <w:t>比选申请</w:t>
            </w:r>
            <w:r>
              <w:rPr>
                <w:rFonts w:hint="eastAsia" w:ascii="宋体" w:hAnsi="宋体" w:eastAsia="宋体" w:cs="宋体"/>
                <w:sz w:val="20"/>
                <w:szCs w:val="20"/>
              </w:rPr>
              <w:t>人，视为默认开标结果；若</w:t>
            </w:r>
            <w:r>
              <w:rPr>
                <w:rFonts w:hint="eastAsia" w:ascii="宋体" w:hAnsi="宋体" w:eastAsia="宋体" w:cs="宋体"/>
                <w:sz w:val="20"/>
                <w:szCs w:val="20"/>
                <w:lang w:val="en-US" w:eastAsia="zh-CN"/>
              </w:rPr>
              <w:t>比选申请</w:t>
            </w:r>
            <w:r>
              <w:rPr>
                <w:rFonts w:hint="eastAsia" w:ascii="宋体" w:hAnsi="宋体" w:eastAsia="宋体" w:cs="宋体"/>
                <w:kern w:val="2"/>
                <w:sz w:val="20"/>
                <w:szCs w:val="20"/>
                <w:lang w:val="en-US" w:eastAsia="zh-CN" w:bidi="ar-SA"/>
              </w:rPr>
              <w:t>人</w:t>
            </w:r>
            <w:r>
              <w:rPr>
                <w:rFonts w:hint="eastAsia" w:ascii="宋体" w:hAnsi="宋体" w:eastAsia="宋体" w:cs="宋体"/>
                <w:sz w:val="20"/>
                <w:szCs w:val="20"/>
              </w:rPr>
              <w:t>未出席开标会，则其</w:t>
            </w:r>
            <w:r>
              <w:rPr>
                <w:rFonts w:hint="eastAsia" w:ascii="宋体" w:hAnsi="宋体" w:eastAsia="宋体" w:cs="宋体"/>
                <w:sz w:val="20"/>
                <w:szCs w:val="20"/>
                <w:lang w:val="en-US" w:eastAsia="zh-CN"/>
              </w:rPr>
              <w:t>比选申请</w:t>
            </w:r>
            <w:r>
              <w:rPr>
                <w:rFonts w:hint="eastAsia" w:ascii="宋体" w:hAnsi="宋体" w:eastAsia="宋体" w:cs="宋体"/>
                <w:sz w:val="20"/>
                <w:szCs w:val="20"/>
              </w:rPr>
              <w:t>文件第二个信封不再退还，</w:t>
            </w:r>
            <w:r>
              <w:rPr>
                <w:rFonts w:hint="eastAsia" w:ascii="宋体" w:hAnsi="宋体" w:eastAsia="宋体" w:cs="宋体"/>
                <w:sz w:val="20"/>
                <w:szCs w:val="20"/>
                <w:lang w:val="en-US" w:eastAsia="zh-CN"/>
              </w:rPr>
              <w:t>比选</w:t>
            </w:r>
            <w:r>
              <w:rPr>
                <w:rFonts w:hint="eastAsia" w:ascii="宋体" w:hAnsi="宋体" w:eastAsia="宋体" w:cs="宋体"/>
                <w:sz w:val="20"/>
                <w:szCs w:val="20"/>
              </w:rPr>
              <w:t>人也不承担保管责任。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9" w:type="dxa"/>
            <w:vAlign w:val="center"/>
          </w:tcPr>
          <w:p>
            <w:pPr>
              <w:pStyle w:val="18"/>
              <w:spacing w:line="360" w:lineRule="exact"/>
              <w:jc w:val="center"/>
              <w:rPr>
                <w:rFonts w:hint="eastAsia" w:ascii="宋体" w:hAnsi="宋体" w:eastAsia="宋体" w:cs="宋体"/>
              </w:rPr>
            </w:pPr>
            <w:r>
              <w:rPr>
                <w:rFonts w:hint="eastAsia" w:ascii="宋体" w:hAnsi="宋体" w:eastAsia="宋体" w:cs="宋体"/>
              </w:rPr>
              <w:t>26</w:t>
            </w:r>
          </w:p>
        </w:tc>
        <w:tc>
          <w:tcPr>
            <w:tcW w:w="1984" w:type="dxa"/>
            <w:vAlign w:val="center"/>
          </w:tcPr>
          <w:p>
            <w:pPr>
              <w:pStyle w:val="18"/>
              <w:spacing w:line="380" w:lineRule="exact"/>
              <w:jc w:val="center"/>
              <w:rPr>
                <w:rFonts w:hint="eastAsia" w:ascii="宋体" w:hAnsi="宋体" w:eastAsia="宋体" w:cs="宋体"/>
              </w:rPr>
            </w:pPr>
            <w:r>
              <w:rPr>
                <w:rFonts w:hint="eastAsia" w:ascii="宋体" w:hAnsi="宋体" w:eastAsia="宋体" w:cs="宋体"/>
              </w:rPr>
              <w:t>评标方法</w:t>
            </w:r>
          </w:p>
        </w:tc>
        <w:tc>
          <w:tcPr>
            <w:tcW w:w="6237" w:type="dxa"/>
            <w:vAlign w:val="center"/>
          </w:tcPr>
          <w:p>
            <w:pPr>
              <w:pStyle w:val="18"/>
              <w:spacing w:line="380" w:lineRule="exact"/>
              <w:rPr>
                <w:rFonts w:hint="eastAsia" w:ascii="宋体" w:hAnsi="宋体" w:eastAsia="宋体" w:cs="宋体"/>
              </w:rPr>
            </w:pPr>
            <w:r>
              <w:rPr>
                <w:rFonts w:hint="eastAsia" w:ascii="宋体" w:hAnsi="宋体" w:eastAsia="宋体" w:cs="宋体"/>
              </w:rPr>
              <w:t>本次比选采用</w:t>
            </w:r>
            <w:r>
              <w:rPr>
                <w:rFonts w:hint="eastAsia" w:ascii="宋体" w:hAnsi="宋体" w:eastAsia="宋体" w:cs="宋体"/>
                <w:b/>
              </w:rPr>
              <w:t>资格后审，</w:t>
            </w:r>
            <w:r>
              <w:rPr>
                <w:rFonts w:hint="eastAsia" w:ascii="宋体" w:hAnsi="宋体" w:eastAsia="宋体" w:cs="宋体"/>
              </w:rPr>
              <w:t>评标采用综合评分法，</w:t>
            </w:r>
            <w:r>
              <w:rPr>
                <w:rFonts w:hint="eastAsia" w:ascii="宋体" w:hAnsi="宋体" w:eastAsia="宋体" w:cs="宋体"/>
                <w:b/>
                <w:bCs/>
                <w:lang w:val="en-US" w:eastAsia="zh-CN"/>
              </w:rPr>
              <w:t>双</w:t>
            </w:r>
            <w:r>
              <w:rPr>
                <w:rFonts w:hint="eastAsia" w:ascii="宋体" w:hAnsi="宋体" w:eastAsia="宋体" w:cs="宋体"/>
                <w:b/>
              </w:rPr>
              <w:t>信封形式</w:t>
            </w:r>
            <w:r>
              <w:rPr>
                <w:rFonts w:hint="eastAsia" w:ascii="宋体" w:hAnsi="宋体" w:eastAsia="宋体" w:cs="宋体"/>
              </w:rPr>
              <w:t>。详见第三章评标办法。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959" w:type="dxa"/>
            <w:vAlign w:val="center"/>
          </w:tcPr>
          <w:p>
            <w:pPr>
              <w:pStyle w:val="18"/>
              <w:spacing w:line="360" w:lineRule="exact"/>
              <w:jc w:val="center"/>
              <w:rPr>
                <w:rFonts w:hint="eastAsia" w:ascii="宋体" w:hAnsi="宋体" w:eastAsia="宋体" w:cs="宋体"/>
              </w:rPr>
            </w:pPr>
            <w:r>
              <w:rPr>
                <w:rFonts w:hint="eastAsia" w:ascii="宋体" w:hAnsi="宋体" w:eastAsia="宋体" w:cs="宋体"/>
              </w:rPr>
              <w:t>27</w:t>
            </w:r>
          </w:p>
        </w:tc>
        <w:tc>
          <w:tcPr>
            <w:tcW w:w="1984" w:type="dxa"/>
            <w:vAlign w:val="center"/>
          </w:tcPr>
          <w:p>
            <w:pPr>
              <w:pStyle w:val="18"/>
              <w:spacing w:line="380" w:lineRule="exact"/>
              <w:jc w:val="center"/>
              <w:rPr>
                <w:rFonts w:hint="eastAsia" w:ascii="宋体" w:hAnsi="宋体" w:eastAsia="宋体" w:cs="宋体"/>
              </w:rPr>
            </w:pPr>
            <w:r>
              <w:rPr>
                <w:rFonts w:hint="eastAsia" w:ascii="宋体" w:hAnsi="宋体" w:eastAsia="宋体" w:cs="宋体"/>
              </w:rPr>
              <w:t>推荐中</w:t>
            </w:r>
            <w:r>
              <w:rPr>
                <w:rFonts w:hint="eastAsia" w:ascii="宋体" w:hAnsi="宋体" w:eastAsia="宋体" w:cs="宋体"/>
                <w:lang w:val="en-US" w:eastAsia="zh-CN"/>
              </w:rPr>
              <w:t>选</w:t>
            </w:r>
            <w:r>
              <w:rPr>
                <w:rFonts w:hint="eastAsia" w:ascii="宋体" w:hAnsi="宋体" w:eastAsia="宋体" w:cs="宋体"/>
              </w:rPr>
              <w:t>候选人</w:t>
            </w:r>
          </w:p>
          <w:p>
            <w:pPr>
              <w:pStyle w:val="18"/>
              <w:spacing w:line="380" w:lineRule="exact"/>
              <w:jc w:val="center"/>
              <w:rPr>
                <w:rFonts w:hint="eastAsia" w:ascii="宋体" w:hAnsi="宋体" w:eastAsia="宋体" w:cs="宋体"/>
              </w:rPr>
            </w:pPr>
            <w:r>
              <w:rPr>
                <w:rFonts w:hint="eastAsia" w:ascii="宋体" w:hAnsi="宋体" w:eastAsia="宋体" w:cs="宋体"/>
              </w:rPr>
              <w:t>原则</w:t>
            </w:r>
          </w:p>
        </w:tc>
        <w:tc>
          <w:tcPr>
            <w:tcW w:w="6237" w:type="dxa"/>
            <w:vAlign w:val="center"/>
          </w:tcPr>
          <w:p>
            <w:pPr>
              <w:pStyle w:val="18"/>
              <w:spacing w:line="380" w:lineRule="exact"/>
              <w:rPr>
                <w:rFonts w:hint="eastAsia" w:ascii="宋体" w:hAnsi="宋体" w:eastAsia="宋体" w:cs="宋体"/>
              </w:rPr>
            </w:pPr>
            <w:r>
              <w:rPr>
                <w:rFonts w:hint="eastAsia" w:ascii="宋体" w:hAnsi="宋体" w:eastAsia="宋体" w:cs="宋体"/>
              </w:rPr>
              <w:t>评标委员会推荐的</w:t>
            </w:r>
            <w:r>
              <w:rPr>
                <w:rFonts w:hint="eastAsia" w:hAnsi="宋体" w:eastAsia="宋体" w:cs="宋体"/>
                <w:lang w:eastAsia="zh-CN"/>
              </w:rPr>
              <w:t>中选候选人</w:t>
            </w:r>
            <w:r>
              <w:rPr>
                <w:rFonts w:hint="eastAsia" w:ascii="宋体" w:hAnsi="宋体" w:eastAsia="宋体" w:cs="宋体"/>
              </w:rPr>
              <w:t>数：3名（若不足3名，则按相应数量推荐）。具体推荐原则详见评标办法前附表。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59" w:type="dxa"/>
            <w:vAlign w:val="center"/>
          </w:tcPr>
          <w:p>
            <w:pPr>
              <w:pStyle w:val="18"/>
              <w:spacing w:line="360" w:lineRule="exact"/>
              <w:jc w:val="center"/>
              <w:rPr>
                <w:rFonts w:hint="eastAsia" w:ascii="宋体" w:hAnsi="宋体" w:eastAsia="宋体" w:cs="宋体"/>
              </w:rPr>
            </w:pPr>
            <w:r>
              <w:rPr>
                <w:rFonts w:hint="eastAsia" w:ascii="宋体" w:hAnsi="宋体" w:eastAsia="宋体" w:cs="宋体"/>
              </w:rPr>
              <w:t>28</w:t>
            </w:r>
          </w:p>
        </w:tc>
        <w:tc>
          <w:tcPr>
            <w:tcW w:w="1984" w:type="dxa"/>
            <w:vAlign w:val="center"/>
          </w:tcPr>
          <w:p>
            <w:pPr>
              <w:pStyle w:val="18"/>
              <w:spacing w:line="360" w:lineRule="exact"/>
              <w:jc w:val="center"/>
              <w:rPr>
                <w:rFonts w:hint="eastAsia" w:ascii="宋体" w:hAnsi="宋体" w:eastAsia="宋体" w:cs="宋体"/>
              </w:rPr>
            </w:pPr>
            <w:r>
              <w:rPr>
                <w:rFonts w:hint="eastAsia" w:ascii="宋体" w:hAnsi="宋体" w:eastAsia="宋体" w:cs="宋体"/>
              </w:rPr>
              <w:t>是否授权评标委员会确定中</w:t>
            </w:r>
            <w:r>
              <w:rPr>
                <w:rFonts w:hint="eastAsia" w:hAnsi="宋体" w:eastAsia="宋体" w:cs="宋体"/>
                <w:lang w:val="en-US" w:eastAsia="zh-CN"/>
              </w:rPr>
              <w:t>选</w:t>
            </w:r>
            <w:r>
              <w:rPr>
                <w:rFonts w:hint="eastAsia" w:ascii="宋体" w:hAnsi="宋体" w:eastAsia="宋体" w:cs="宋体"/>
              </w:rPr>
              <w:t>人</w:t>
            </w:r>
          </w:p>
        </w:tc>
        <w:tc>
          <w:tcPr>
            <w:tcW w:w="6237" w:type="dxa"/>
            <w:vAlign w:val="center"/>
          </w:tcPr>
          <w:p>
            <w:pPr>
              <w:adjustRightInd w:val="0"/>
              <w:snapToGrid w:val="0"/>
              <w:spacing w:line="360" w:lineRule="exact"/>
              <w:rPr>
                <w:rFonts w:hint="eastAsia" w:ascii="宋体" w:hAnsi="宋体" w:eastAsia="宋体" w:cs="宋体"/>
                <w:kern w:val="0"/>
                <w:sz w:val="20"/>
                <w:szCs w:val="20"/>
              </w:rPr>
            </w:pPr>
            <w:r>
              <w:rPr>
                <w:rFonts w:hint="eastAsia" w:ascii="宋体" w:hAnsi="宋体" w:eastAsia="宋体" w:cs="宋体"/>
                <w:kern w:val="0"/>
                <w:sz w:val="20"/>
                <w:szCs w:val="20"/>
              </w:rPr>
              <w:t>（1）比选人不授权评标委员会确定中</w:t>
            </w:r>
            <w:r>
              <w:rPr>
                <w:rFonts w:hint="eastAsia" w:ascii="宋体" w:hAnsi="宋体" w:eastAsia="宋体" w:cs="宋体"/>
                <w:kern w:val="0"/>
                <w:sz w:val="20"/>
                <w:szCs w:val="20"/>
                <w:lang w:val="en-US" w:eastAsia="zh-CN"/>
              </w:rPr>
              <w:t>选</w:t>
            </w:r>
            <w:r>
              <w:rPr>
                <w:rFonts w:hint="eastAsia" w:ascii="宋体" w:hAnsi="宋体" w:eastAsia="宋体" w:cs="宋体"/>
                <w:kern w:val="0"/>
                <w:sz w:val="20"/>
                <w:szCs w:val="20"/>
              </w:rPr>
              <w:t>人。比选人将依据评标委员会推荐的中选候选人，确定排名第一的中选候选人为中选人；</w:t>
            </w:r>
          </w:p>
          <w:p>
            <w:pPr>
              <w:pStyle w:val="18"/>
              <w:spacing w:line="360" w:lineRule="exact"/>
              <w:rPr>
                <w:rFonts w:hint="eastAsia" w:ascii="宋体" w:hAnsi="宋体" w:eastAsia="宋体" w:cs="宋体"/>
              </w:rPr>
            </w:pPr>
            <w:r>
              <w:rPr>
                <w:rFonts w:hint="eastAsia" w:ascii="宋体" w:hAnsi="宋体" w:eastAsia="宋体" w:cs="宋体"/>
              </w:rPr>
              <w:t>（2）</w:t>
            </w:r>
            <w:r>
              <w:rPr>
                <w:rFonts w:hint="eastAsia" w:hAnsi="宋体" w:eastAsia="宋体" w:cs="宋体"/>
                <w:lang w:eastAsia="zh-CN"/>
              </w:rPr>
              <w:t>中选候选人</w:t>
            </w:r>
            <w:r>
              <w:rPr>
                <w:rFonts w:hint="eastAsia" w:ascii="宋体" w:hAnsi="宋体" w:eastAsia="宋体" w:cs="宋体"/>
              </w:rPr>
              <w:t>放弃中</w:t>
            </w:r>
            <w:r>
              <w:rPr>
                <w:rFonts w:hint="eastAsia" w:hAnsi="宋体" w:eastAsia="宋体" w:cs="宋体"/>
                <w:lang w:val="en-US" w:eastAsia="zh-CN"/>
              </w:rPr>
              <w:t>选</w:t>
            </w:r>
            <w:r>
              <w:rPr>
                <w:rFonts w:hint="eastAsia" w:ascii="宋体" w:hAnsi="宋体" w:eastAsia="宋体" w:cs="宋体"/>
              </w:rPr>
              <w:t>；或不能履行合同；或不按照比选文件要求提交履约担保；或被查实存在影响中标结果的违法行为等情形不符合中标条件的，比选人可以按照评标委员会提出的</w:t>
            </w:r>
            <w:r>
              <w:rPr>
                <w:rFonts w:hint="eastAsia" w:hAnsi="宋体" w:eastAsia="宋体" w:cs="宋体"/>
                <w:lang w:eastAsia="zh-CN"/>
              </w:rPr>
              <w:t>中选候选人</w:t>
            </w:r>
            <w:r>
              <w:rPr>
                <w:rFonts w:hint="eastAsia" w:ascii="宋体" w:hAnsi="宋体" w:eastAsia="宋体" w:cs="宋体"/>
              </w:rPr>
              <w:t>名单排序依次确定其他</w:t>
            </w:r>
            <w:r>
              <w:rPr>
                <w:rFonts w:hint="eastAsia" w:hAnsi="宋体" w:eastAsia="宋体" w:cs="宋体"/>
                <w:lang w:eastAsia="zh-CN"/>
              </w:rPr>
              <w:t>中选候选人</w:t>
            </w:r>
            <w:r>
              <w:rPr>
                <w:rFonts w:hint="eastAsia" w:ascii="宋体" w:hAnsi="宋体" w:eastAsia="宋体" w:cs="宋体"/>
              </w:rPr>
              <w:t>为</w:t>
            </w:r>
            <w:r>
              <w:rPr>
                <w:rFonts w:hint="eastAsia" w:hAnsi="宋体" w:eastAsia="宋体" w:cs="宋体"/>
                <w:lang w:eastAsia="zh-CN"/>
              </w:rPr>
              <w:t>中选人</w:t>
            </w:r>
            <w:r>
              <w:rPr>
                <w:rFonts w:hint="eastAsia" w:ascii="宋体" w:hAnsi="宋体" w:eastAsia="宋体" w:cs="宋体"/>
              </w:rPr>
              <w:t>，也可以重新</w:t>
            </w:r>
            <w:r>
              <w:rPr>
                <w:rFonts w:hint="eastAsia" w:hAnsi="宋体" w:eastAsia="宋体" w:cs="宋体"/>
                <w:lang w:val="en-US" w:eastAsia="zh-CN"/>
              </w:rPr>
              <w:t>比选</w:t>
            </w: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59" w:type="dxa"/>
            <w:vAlign w:val="center"/>
          </w:tcPr>
          <w:p>
            <w:pPr>
              <w:pStyle w:val="18"/>
              <w:spacing w:line="360" w:lineRule="exact"/>
              <w:jc w:val="center"/>
              <w:rPr>
                <w:rFonts w:hint="eastAsia" w:ascii="宋体" w:hAnsi="宋体" w:eastAsia="宋体" w:cs="宋体"/>
              </w:rPr>
            </w:pPr>
            <w:r>
              <w:rPr>
                <w:rFonts w:hint="eastAsia" w:ascii="宋体" w:hAnsi="宋体" w:eastAsia="宋体" w:cs="宋体"/>
              </w:rPr>
              <w:t>29</w:t>
            </w:r>
          </w:p>
        </w:tc>
        <w:tc>
          <w:tcPr>
            <w:tcW w:w="1984" w:type="dxa"/>
            <w:vAlign w:val="center"/>
          </w:tcPr>
          <w:p>
            <w:pPr>
              <w:pStyle w:val="18"/>
              <w:spacing w:line="360" w:lineRule="exact"/>
              <w:jc w:val="center"/>
              <w:rPr>
                <w:rFonts w:hint="eastAsia" w:ascii="宋体" w:hAnsi="宋体" w:eastAsia="宋体" w:cs="宋体"/>
              </w:rPr>
            </w:pPr>
            <w:r>
              <w:rPr>
                <w:rFonts w:hint="eastAsia" w:ascii="宋体" w:hAnsi="宋体" w:eastAsia="宋体" w:cs="宋体"/>
              </w:rPr>
              <w:t>履约保证金</w:t>
            </w:r>
          </w:p>
        </w:tc>
        <w:tc>
          <w:tcPr>
            <w:tcW w:w="6237" w:type="dxa"/>
            <w:vAlign w:val="center"/>
          </w:tcPr>
          <w:p>
            <w:pPr>
              <w:adjustRightInd w:val="0"/>
              <w:snapToGrid w:val="0"/>
              <w:spacing w:line="360" w:lineRule="exact"/>
              <w:rPr>
                <w:rFonts w:hint="eastAsia" w:ascii="宋体" w:hAnsi="宋体" w:eastAsia="宋体" w:cs="宋体"/>
                <w:b/>
              </w:rPr>
            </w:pPr>
            <w:r>
              <w:rPr>
                <w:rFonts w:hint="eastAsia" w:ascii="宋体" w:hAnsi="宋体" w:eastAsia="宋体" w:cs="宋体"/>
                <w:spacing w:val="-2"/>
              </w:rPr>
              <w:t>本项目不要求提交履约保证金。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959" w:type="dxa"/>
            <w:vAlign w:val="center"/>
          </w:tcPr>
          <w:p>
            <w:pPr>
              <w:pStyle w:val="18"/>
              <w:spacing w:line="360" w:lineRule="exact"/>
              <w:jc w:val="center"/>
              <w:rPr>
                <w:rFonts w:hint="eastAsia" w:ascii="宋体" w:hAnsi="宋体" w:eastAsia="宋体" w:cs="宋体"/>
              </w:rPr>
            </w:pPr>
            <w:r>
              <w:rPr>
                <w:rFonts w:hint="eastAsia" w:ascii="宋体" w:hAnsi="宋体" w:eastAsia="宋体" w:cs="宋体"/>
              </w:rPr>
              <w:t>30</w:t>
            </w:r>
          </w:p>
        </w:tc>
        <w:tc>
          <w:tcPr>
            <w:tcW w:w="1984" w:type="dxa"/>
            <w:vAlign w:val="center"/>
          </w:tcPr>
          <w:p>
            <w:pPr>
              <w:pStyle w:val="18"/>
              <w:adjustRightInd w:val="0"/>
              <w:snapToGrid w:val="0"/>
              <w:jc w:val="center"/>
              <w:rPr>
                <w:rFonts w:hint="eastAsia" w:ascii="宋体" w:hAnsi="宋体" w:eastAsia="宋体" w:cs="宋体"/>
              </w:rPr>
            </w:pPr>
            <w:r>
              <w:rPr>
                <w:rFonts w:hint="eastAsia" w:ascii="宋体" w:hAnsi="宋体" w:eastAsia="宋体" w:cs="宋体"/>
              </w:rPr>
              <w:t>签订合同</w:t>
            </w:r>
          </w:p>
        </w:tc>
        <w:tc>
          <w:tcPr>
            <w:tcW w:w="6237" w:type="dxa"/>
            <w:tcBorders>
              <w:bottom w:val="single" w:color="auto" w:sz="4" w:space="0"/>
            </w:tcBorders>
            <w:vAlign w:val="center"/>
          </w:tcPr>
          <w:p>
            <w:pPr>
              <w:pStyle w:val="18"/>
              <w:spacing w:line="360" w:lineRule="exact"/>
              <w:rPr>
                <w:rFonts w:hint="eastAsia" w:ascii="宋体" w:hAnsi="宋体" w:eastAsia="宋体" w:cs="宋体"/>
              </w:rPr>
            </w:pPr>
            <w:r>
              <w:rPr>
                <w:rFonts w:hint="eastAsia" w:ascii="宋体" w:hAnsi="宋体" w:eastAsia="宋体" w:cs="宋体"/>
              </w:rPr>
              <w:t>中选候选人公示期满，如果参与本项目的比选申请人对本项目评审结果无异议，由比选人向第一中选候选人发出中选通知书。在中</w:t>
            </w:r>
            <w:r>
              <w:rPr>
                <w:rFonts w:hint="eastAsia" w:ascii="宋体" w:hAnsi="宋体" w:eastAsia="宋体" w:cs="宋体"/>
                <w:lang w:val="en-US" w:eastAsia="zh-CN"/>
              </w:rPr>
              <w:t>选</w:t>
            </w:r>
            <w:r>
              <w:rPr>
                <w:rFonts w:hint="eastAsia" w:ascii="宋体" w:hAnsi="宋体" w:eastAsia="宋体" w:cs="宋体"/>
              </w:rPr>
              <w:t>通知书发出后30日内，</w:t>
            </w:r>
            <w:r>
              <w:rPr>
                <w:rFonts w:hint="eastAsia" w:ascii="宋体" w:hAnsi="宋体" w:eastAsia="宋体" w:cs="宋体"/>
                <w:lang w:val="en-US" w:eastAsia="zh-CN"/>
              </w:rPr>
              <w:t>中选人应</w:t>
            </w:r>
            <w:r>
              <w:rPr>
                <w:rFonts w:hint="eastAsia" w:ascii="宋体" w:hAnsi="宋体" w:eastAsia="宋体" w:cs="宋体"/>
              </w:rPr>
              <w:t>与</w:t>
            </w:r>
            <w:r>
              <w:rPr>
                <w:rFonts w:hint="eastAsia" w:ascii="宋体" w:hAnsi="宋体" w:eastAsia="宋体" w:cs="宋体"/>
                <w:lang w:val="en-US" w:eastAsia="zh-CN"/>
              </w:rPr>
              <w:t>比选人</w:t>
            </w:r>
            <w:r>
              <w:rPr>
                <w:rFonts w:hint="eastAsia" w:ascii="宋体" w:hAnsi="宋体" w:eastAsia="宋体" w:cs="宋体"/>
              </w:rPr>
              <w:t>签订合同协议书，同时签订廉政合同等其他合同。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59" w:type="dxa"/>
            <w:vAlign w:val="center"/>
          </w:tcPr>
          <w:p>
            <w:pPr>
              <w:pStyle w:val="18"/>
              <w:spacing w:line="360" w:lineRule="exact"/>
              <w:jc w:val="center"/>
              <w:rPr>
                <w:rFonts w:hint="eastAsia" w:ascii="宋体" w:hAnsi="宋体" w:eastAsia="宋体" w:cs="宋体"/>
              </w:rPr>
            </w:pPr>
            <w:r>
              <w:rPr>
                <w:rFonts w:hint="eastAsia" w:ascii="宋体" w:hAnsi="宋体" w:eastAsia="宋体" w:cs="宋体"/>
              </w:rPr>
              <w:t>31</w:t>
            </w:r>
          </w:p>
        </w:tc>
        <w:tc>
          <w:tcPr>
            <w:tcW w:w="1984" w:type="dxa"/>
            <w:vAlign w:val="center"/>
          </w:tcPr>
          <w:p>
            <w:pPr>
              <w:spacing w:line="400" w:lineRule="exact"/>
              <w:jc w:val="center"/>
              <w:rPr>
                <w:rFonts w:hint="eastAsia" w:ascii="宋体" w:hAnsi="宋体" w:eastAsia="宋体" w:cs="宋体"/>
                <w:spacing w:val="-4"/>
                <w:kern w:val="0"/>
                <w:sz w:val="20"/>
                <w:szCs w:val="20"/>
              </w:rPr>
            </w:pPr>
            <w:r>
              <w:rPr>
                <w:rFonts w:hint="eastAsia" w:ascii="宋体" w:hAnsi="宋体" w:eastAsia="宋体" w:cs="宋体"/>
                <w:spacing w:val="-4"/>
                <w:kern w:val="0"/>
                <w:sz w:val="20"/>
                <w:szCs w:val="20"/>
              </w:rPr>
              <w:t>签订合同事项</w:t>
            </w:r>
          </w:p>
        </w:tc>
        <w:tc>
          <w:tcPr>
            <w:tcW w:w="6237" w:type="dxa"/>
            <w:tcBorders>
              <w:bottom w:val="single" w:color="auto" w:sz="4" w:space="0"/>
            </w:tcBorders>
            <w:vAlign w:val="center"/>
          </w:tcPr>
          <w:p>
            <w:pPr>
              <w:spacing w:line="400" w:lineRule="exact"/>
              <w:jc w:val="left"/>
              <w:rPr>
                <w:rFonts w:hint="eastAsia" w:ascii="宋体" w:hAnsi="宋体" w:eastAsia="宋体" w:cs="宋体"/>
                <w:spacing w:val="-4"/>
                <w:kern w:val="0"/>
                <w:sz w:val="20"/>
                <w:szCs w:val="20"/>
              </w:rPr>
            </w:pPr>
            <w:r>
              <w:rPr>
                <w:rFonts w:hint="eastAsia" w:ascii="宋体" w:hAnsi="宋体" w:eastAsia="宋体" w:cs="宋体"/>
                <w:spacing w:val="-4"/>
                <w:kern w:val="0"/>
                <w:sz w:val="20"/>
                <w:szCs w:val="20"/>
              </w:rPr>
              <w:t>本项修改为：</w:t>
            </w:r>
          </w:p>
          <w:p>
            <w:pPr>
              <w:spacing w:line="400" w:lineRule="exact"/>
              <w:jc w:val="left"/>
              <w:rPr>
                <w:rFonts w:hint="eastAsia" w:ascii="宋体" w:hAnsi="宋体" w:eastAsia="宋体" w:cs="宋体"/>
                <w:spacing w:val="-4"/>
                <w:kern w:val="0"/>
                <w:sz w:val="20"/>
                <w:szCs w:val="20"/>
              </w:rPr>
            </w:pPr>
            <w:r>
              <w:rPr>
                <w:rFonts w:hint="eastAsia" w:ascii="宋体" w:hAnsi="宋体" w:eastAsia="宋体" w:cs="宋体"/>
                <w:spacing w:val="-4"/>
                <w:kern w:val="0"/>
                <w:sz w:val="20"/>
                <w:szCs w:val="20"/>
              </w:rPr>
              <w:t>（1）比选人和</w:t>
            </w:r>
            <w:r>
              <w:rPr>
                <w:rFonts w:hint="eastAsia" w:ascii="宋体" w:hAnsi="宋体" w:eastAsia="宋体" w:cs="宋体"/>
                <w:spacing w:val="-4"/>
                <w:kern w:val="0"/>
                <w:sz w:val="20"/>
                <w:szCs w:val="20"/>
                <w:lang w:eastAsia="zh-CN"/>
              </w:rPr>
              <w:t>中选人</w:t>
            </w:r>
            <w:r>
              <w:rPr>
                <w:rFonts w:hint="eastAsia" w:ascii="宋体" w:hAnsi="宋体" w:eastAsia="宋体" w:cs="宋体"/>
                <w:spacing w:val="-4"/>
                <w:kern w:val="0"/>
                <w:sz w:val="20"/>
                <w:szCs w:val="20"/>
              </w:rPr>
              <w:t>在签订合同协议书时，合同格式可参照国家相关规定拟定，但比选文件第四章合同条款应作为合同文件的一部分，其实质性条款不可做更改。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59" w:type="dxa"/>
            <w:vAlign w:val="center"/>
          </w:tcPr>
          <w:p>
            <w:pPr>
              <w:pStyle w:val="18"/>
              <w:spacing w:line="360" w:lineRule="exact"/>
              <w:jc w:val="center"/>
              <w:rPr>
                <w:rFonts w:hint="eastAsia" w:ascii="宋体" w:hAnsi="宋体" w:eastAsia="宋体" w:cs="宋体"/>
              </w:rPr>
            </w:pPr>
            <w:r>
              <w:rPr>
                <w:rFonts w:hint="eastAsia" w:ascii="宋体" w:hAnsi="宋体" w:eastAsia="宋体" w:cs="宋体"/>
              </w:rPr>
              <w:t>32</w:t>
            </w:r>
          </w:p>
        </w:tc>
        <w:tc>
          <w:tcPr>
            <w:tcW w:w="1984" w:type="dxa"/>
            <w:vAlign w:val="center"/>
          </w:tcPr>
          <w:p>
            <w:pPr>
              <w:spacing w:line="400" w:lineRule="exact"/>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重新</w:t>
            </w:r>
            <w:r>
              <w:rPr>
                <w:rFonts w:hint="eastAsia" w:ascii="宋体" w:hAnsi="宋体" w:eastAsia="宋体" w:cs="宋体"/>
                <w:kern w:val="0"/>
                <w:sz w:val="20"/>
                <w:szCs w:val="20"/>
                <w:lang w:val="en-US" w:eastAsia="zh-CN"/>
              </w:rPr>
              <w:t>比选</w:t>
            </w:r>
          </w:p>
        </w:tc>
        <w:tc>
          <w:tcPr>
            <w:tcW w:w="6237" w:type="dxa"/>
            <w:tcBorders>
              <w:bottom w:val="single" w:color="auto" w:sz="4" w:space="0"/>
            </w:tcBorders>
            <w:vAlign w:val="center"/>
          </w:tcPr>
          <w:p>
            <w:pPr>
              <w:spacing w:line="400" w:lineRule="exact"/>
              <w:jc w:val="left"/>
              <w:rPr>
                <w:rFonts w:hint="eastAsia" w:ascii="宋体" w:hAnsi="宋体" w:eastAsia="宋体" w:cs="宋体"/>
                <w:spacing w:val="-4"/>
                <w:kern w:val="0"/>
                <w:sz w:val="20"/>
                <w:szCs w:val="20"/>
              </w:rPr>
            </w:pPr>
            <w:r>
              <w:rPr>
                <w:rFonts w:hint="eastAsia" w:ascii="宋体" w:hAnsi="宋体" w:eastAsia="宋体" w:cs="宋体"/>
                <w:spacing w:val="-4"/>
                <w:kern w:val="0"/>
                <w:sz w:val="20"/>
                <w:szCs w:val="20"/>
              </w:rPr>
              <w:t>有下列情形之一的，比选人可重新</w:t>
            </w:r>
            <w:r>
              <w:rPr>
                <w:rFonts w:hint="eastAsia" w:ascii="宋体" w:hAnsi="宋体" w:eastAsia="宋体" w:cs="宋体"/>
                <w:spacing w:val="-4"/>
                <w:kern w:val="0"/>
                <w:sz w:val="20"/>
                <w:szCs w:val="20"/>
                <w:lang w:val="en-US" w:eastAsia="zh-CN"/>
              </w:rPr>
              <w:t>比选</w:t>
            </w:r>
            <w:r>
              <w:rPr>
                <w:rFonts w:hint="eastAsia" w:ascii="宋体" w:hAnsi="宋体" w:eastAsia="宋体" w:cs="宋体"/>
                <w:spacing w:val="-4"/>
                <w:kern w:val="0"/>
                <w:sz w:val="20"/>
                <w:szCs w:val="20"/>
              </w:rPr>
              <w:t>：</w:t>
            </w:r>
          </w:p>
          <w:p>
            <w:pPr>
              <w:spacing w:line="400" w:lineRule="exact"/>
              <w:jc w:val="left"/>
              <w:rPr>
                <w:rFonts w:hint="eastAsia" w:ascii="宋体" w:hAnsi="宋体" w:eastAsia="宋体" w:cs="宋体"/>
                <w:spacing w:val="-4"/>
                <w:kern w:val="0"/>
                <w:sz w:val="20"/>
                <w:szCs w:val="20"/>
              </w:rPr>
            </w:pPr>
            <w:r>
              <w:rPr>
                <w:rFonts w:hint="eastAsia" w:ascii="宋体" w:hAnsi="宋体" w:eastAsia="宋体" w:cs="宋体"/>
                <w:spacing w:val="-4"/>
                <w:kern w:val="0"/>
                <w:sz w:val="20"/>
                <w:szCs w:val="20"/>
              </w:rPr>
              <w:t>（1）比选申请截止时间止，递交比选申请文件的比选申请人少于三个的；</w:t>
            </w:r>
          </w:p>
          <w:p>
            <w:pPr>
              <w:spacing w:line="400" w:lineRule="exact"/>
              <w:jc w:val="left"/>
              <w:rPr>
                <w:rFonts w:hint="eastAsia" w:ascii="宋体" w:hAnsi="宋体" w:eastAsia="宋体" w:cs="宋体"/>
                <w:spacing w:val="-4"/>
                <w:kern w:val="0"/>
                <w:sz w:val="20"/>
                <w:szCs w:val="20"/>
              </w:rPr>
            </w:pPr>
            <w:r>
              <w:rPr>
                <w:rFonts w:hint="eastAsia" w:ascii="宋体" w:hAnsi="宋体" w:eastAsia="宋体" w:cs="宋体"/>
                <w:spacing w:val="-4"/>
                <w:kern w:val="0"/>
                <w:sz w:val="20"/>
                <w:szCs w:val="20"/>
              </w:rPr>
              <w:t>（2）经评标委员会评审后否决所有比选申请的；</w:t>
            </w:r>
          </w:p>
          <w:p>
            <w:pPr>
              <w:spacing w:line="400" w:lineRule="exact"/>
              <w:jc w:val="left"/>
              <w:rPr>
                <w:rFonts w:hint="eastAsia" w:ascii="宋体" w:hAnsi="宋体" w:eastAsia="宋体" w:cs="宋体"/>
                <w:spacing w:val="-4"/>
                <w:kern w:val="0"/>
                <w:sz w:val="20"/>
                <w:szCs w:val="20"/>
              </w:rPr>
            </w:pPr>
            <w:r>
              <w:rPr>
                <w:rFonts w:hint="eastAsia" w:ascii="宋体" w:hAnsi="宋体" w:eastAsia="宋体" w:cs="宋体"/>
                <w:spacing w:val="-4"/>
                <w:kern w:val="0"/>
                <w:sz w:val="20"/>
                <w:szCs w:val="20"/>
              </w:rPr>
              <w:t>（3）</w:t>
            </w:r>
            <w:r>
              <w:rPr>
                <w:rFonts w:hint="eastAsia" w:ascii="宋体" w:hAnsi="宋体" w:eastAsia="宋体" w:cs="宋体"/>
                <w:spacing w:val="-4"/>
                <w:kern w:val="0"/>
                <w:sz w:val="20"/>
                <w:szCs w:val="20"/>
                <w:lang w:eastAsia="zh-CN"/>
              </w:rPr>
              <w:t>中选候选人</w:t>
            </w:r>
            <w:r>
              <w:rPr>
                <w:rFonts w:hint="eastAsia" w:ascii="宋体" w:hAnsi="宋体" w:eastAsia="宋体" w:cs="宋体"/>
                <w:spacing w:val="-4"/>
                <w:kern w:val="0"/>
                <w:sz w:val="20"/>
                <w:szCs w:val="20"/>
              </w:rPr>
              <w:t>未能与比选人签订合同协议书的；</w:t>
            </w:r>
          </w:p>
          <w:p>
            <w:pPr>
              <w:spacing w:line="400" w:lineRule="exact"/>
              <w:jc w:val="left"/>
              <w:rPr>
                <w:rFonts w:hint="eastAsia" w:ascii="宋体" w:hAnsi="宋体" w:eastAsia="宋体" w:cs="宋体"/>
                <w:spacing w:val="-4"/>
                <w:kern w:val="0"/>
                <w:sz w:val="20"/>
                <w:szCs w:val="20"/>
              </w:rPr>
            </w:pPr>
            <w:r>
              <w:rPr>
                <w:rFonts w:hint="eastAsia" w:ascii="宋体" w:hAnsi="宋体" w:eastAsia="宋体" w:cs="宋体"/>
                <w:spacing w:val="-4"/>
                <w:kern w:val="0"/>
                <w:sz w:val="20"/>
                <w:szCs w:val="20"/>
              </w:rPr>
              <w:t>（4）法律法规等规定的其他情形。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59" w:type="dxa"/>
            <w:vAlign w:val="center"/>
          </w:tcPr>
          <w:p>
            <w:pPr>
              <w:pStyle w:val="18"/>
              <w:spacing w:line="360" w:lineRule="exact"/>
              <w:jc w:val="center"/>
              <w:rPr>
                <w:rFonts w:hint="eastAsia" w:ascii="宋体" w:hAnsi="宋体" w:eastAsia="宋体" w:cs="宋体"/>
              </w:rPr>
            </w:pPr>
            <w:r>
              <w:rPr>
                <w:rFonts w:hint="eastAsia" w:ascii="宋体" w:hAnsi="宋体" w:eastAsia="宋体" w:cs="宋体"/>
              </w:rPr>
              <w:t>33</w:t>
            </w:r>
          </w:p>
        </w:tc>
        <w:tc>
          <w:tcPr>
            <w:tcW w:w="1984" w:type="dxa"/>
            <w:vAlign w:val="center"/>
          </w:tcPr>
          <w:p>
            <w:pPr>
              <w:pStyle w:val="18"/>
              <w:spacing w:line="360" w:lineRule="exact"/>
              <w:jc w:val="center"/>
              <w:rPr>
                <w:rFonts w:hint="eastAsia" w:ascii="宋体" w:hAnsi="宋体" w:eastAsia="宋体" w:cs="宋体"/>
              </w:rPr>
            </w:pPr>
            <w:r>
              <w:rPr>
                <w:rFonts w:hint="eastAsia" w:ascii="宋体" w:hAnsi="宋体" w:eastAsia="宋体" w:cs="宋体"/>
              </w:rPr>
              <w:t>监督部门</w:t>
            </w:r>
          </w:p>
        </w:tc>
        <w:tc>
          <w:tcPr>
            <w:tcW w:w="6237" w:type="dxa"/>
            <w:vAlign w:val="center"/>
          </w:tcPr>
          <w:p>
            <w:pPr>
              <w:spacing w:line="400" w:lineRule="exact"/>
              <w:jc w:val="left"/>
              <w:rPr>
                <w:rFonts w:hint="eastAsia" w:ascii="宋体" w:hAnsi="宋体" w:eastAsia="宋体" w:cs="宋体"/>
                <w:spacing w:val="-4"/>
                <w:kern w:val="0"/>
                <w:sz w:val="20"/>
                <w:szCs w:val="20"/>
              </w:rPr>
            </w:pPr>
            <w:r>
              <w:rPr>
                <w:rFonts w:hint="eastAsia" w:ascii="宋体" w:hAnsi="宋体" w:eastAsia="宋体" w:cs="宋体"/>
                <w:spacing w:val="-4"/>
                <w:kern w:val="0"/>
                <w:sz w:val="20"/>
                <w:szCs w:val="20"/>
              </w:rPr>
              <w:t>四川成渝高速公路股份有限公司四川成渝高速公路股份有限公司公路运营管理一分公司纪检办公室</w:t>
            </w:r>
          </w:p>
          <w:p>
            <w:pPr>
              <w:spacing w:line="400" w:lineRule="exact"/>
              <w:jc w:val="left"/>
              <w:rPr>
                <w:rFonts w:hint="eastAsia" w:ascii="宋体" w:hAnsi="宋体" w:eastAsia="宋体" w:cs="宋体"/>
                <w:spacing w:val="-4"/>
                <w:kern w:val="0"/>
                <w:sz w:val="20"/>
                <w:szCs w:val="20"/>
              </w:rPr>
            </w:pPr>
            <w:r>
              <w:rPr>
                <w:rFonts w:hint="eastAsia" w:ascii="宋体" w:hAnsi="宋体" w:eastAsia="宋体" w:cs="宋体"/>
                <w:spacing w:val="-4"/>
                <w:kern w:val="0"/>
                <w:sz w:val="20"/>
                <w:szCs w:val="20"/>
              </w:rPr>
              <w:t>电话：028-84082627</w:t>
            </w:r>
          </w:p>
          <w:p>
            <w:pPr>
              <w:spacing w:line="400" w:lineRule="exact"/>
              <w:jc w:val="left"/>
              <w:rPr>
                <w:rFonts w:hint="eastAsia" w:ascii="宋体" w:hAnsi="宋体" w:eastAsia="宋体" w:cs="宋体"/>
                <w:spacing w:val="-4"/>
                <w:kern w:val="0"/>
                <w:sz w:val="20"/>
                <w:szCs w:val="20"/>
              </w:rPr>
            </w:pPr>
            <w:r>
              <w:rPr>
                <w:rFonts w:hint="eastAsia" w:ascii="宋体" w:hAnsi="宋体" w:eastAsia="宋体" w:cs="宋体"/>
                <w:spacing w:val="-4"/>
                <w:kern w:val="0"/>
                <w:sz w:val="20"/>
                <w:szCs w:val="20"/>
              </w:rPr>
              <w:t>地址：四川省成都市成华区迎晖路8号</w:t>
            </w:r>
          </w:p>
          <w:p>
            <w:pPr>
              <w:spacing w:line="400" w:lineRule="exact"/>
              <w:jc w:val="left"/>
              <w:rPr>
                <w:rFonts w:hint="eastAsia" w:ascii="宋体" w:hAnsi="宋体" w:eastAsia="宋体" w:cs="宋体"/>
              </w:rPr>
            </w:pPr>
            <w:r>
              <w:rPr>
                <w:rFonts w:hint="eastAsia" w:ascii="宋体" w:hAnsi="宋体" w:eastAsia="宋体" w:cs="宋体"/>
                <w:spacing w:val="-4"/>
                <w:kern w:val="0"/>
                <w:sz w:val="20"/>
                <w:szCs w:val="20"/>
              </w:rPr>
              <w:t>邮  编：610000（成都）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59" w:type="dxa"/>
            <w:vAlign w:val="center"/>
          </w:tcPr>
          <w:p>
            <w:pPr>
              <w:pStyle w:val="18"/>
              <w:spacing w:line="360" w:lineRule="exact"/>
              <w:jc w:val="center"/>
              <w:rPr>
                <w:rFonts w:hint="eastAsia" w:ascii="宋体" w:hAnsi="宋体" w:eastAsia="宋体" w:cs="宋体"/>
                <w:lang w:val="en-US" w:eastAsia="zh-CN"/>
              </w:rPr>
            </w:pPr>
            <w:r>
              <w:rPr>
                <w:rFonts w:hint="eastAsia" w:ascii="宋体" w:hAnsi="宋体" w:eastAsia="宋体" w:cs="宋体"/>
                <w:lang w:val="en-US" w:eastAsia="zh-CN"/>
              </w:rPr>
              <w:t>34</w:t>
            </w:r>
          </w:p>
        </w:tc>
        <w:tc>
          <w:tcPr>
            <w:tcW w:w="1984" w:type="dxa"/>
            <w:vAlign w:val="center"/>
          </w:tcPr>
          <w:p>
            <w:pPr>
              <w:adjustRightInd w:val="0"/>
              <w:snapToGrid w:val="0"/>
              <w:spacing w:line="360" w:lineRule="atLeast"/>
              <w:jc w:val="center"/>
              <w:rPr>
                <w:rFonts w:hint="eastAsia" w:ascii="宋体" w:hAnsi="宋体" w:eastAsia="宋体" w:cs="宋体"/>
                <w:sz w:val="20"/>
                <w:szCs w:val="20"/>
              </w:rPr>
            </w:pPr>
            <w:r>
              <w:rPr>
                <w:rFonts w:hint="eastAsia" w:ascii="宋体" w:hAnsi="宋体" w:eastAsia="宋体" w:cs="宋体"/>
                <w:color w:val="000000"/>
                <w:sz w:val="20"/>
                <w:szCs w:val="20"/>
              </w:rPr>
              <w:t>比选申请人不得存在的其他关联情形</w:t>
            </w:r>
          </w:p>
        </w:tc>
        <w:tc>
          <w:tcPr>
            <w:tcW w:w="6237" w:type="dxa"/>
            <w:vAlign w:val="center"/>
          </w:tcPr>
          <w:p>
            <w:pPr>
              <w:adjustRightInd w:val="0"/>
              <w:snapToGrid w:val="0"/>
              <w:spacing w:line="360" w:lineRule="atLeast"/>
              <w:rPr>
                <w:rFonts w:hint="eastAsia" w:ascii="宋体" w:hAnsi="宋体" w:eastAsia="宋体" w:cs="宋体"/>
                <w:color w:val="000000"/>
                <w:sz w:val="20"/>
                <w:szCs w:val="20"/>
              </w:rPr>
            </w:pPr>
            <w:r>
              <w:rPr>
                <w:rFonts w:hint="eastAsia" w:ascii="宋体" w:hAnsi="宋体" w:eastAsia="宋体" w:cs="宋体"/>
                <w:color w:val="000000"/>
                <w:sz w:val="20"/>
                <w:szCs w:val="20"/>
              </w:rPr>
              <w:t>（1）为比选人不具有独立法人资格的附属机构（单位）；</w:t>
            </w:r>
          </w:p>
          <w:p>
            <w:pPr>
              <w:adjustRightInd w:val="0"/>
              <w:snapToGrid w:val="0"/>
              <w:spacing w:line="360" w:lineRule="atLeast"/>
              <w:rPr>
                <w:rFonts w:hint="eastAsia" w:ascii="宋体" w:hAnsi="宋体" w:eastAsia="宋体" w:cs="宋体"/>
                <w:color w:val="000000"/>
                <w:sz w:val="20"/>
                <w:szCs w:val="20"/>
              </w:rPr>
            </w:pPr>
            <w:r>
              <w:rPr>
                <w:rFonts w:hint="eastAsia" w:ascii="宋体" w:hAnsi="宋体" w:eastAsia="宋体" w:cs="宋体"/>
                <w:color w:val="000000"/>
                <w:sz w:val="20"/>
                <w:szCs w:val="20"/>
              </w:rPr>
              <w:t>（2）与比选人存在利害关系且可能影响比选公正性；</w:t>
            </w:r>
          </w:p>
          <w:p>
            <w:pPr>
              <w:adjustRightInd w:val="0"/>
              <w:snapToGrid w:val="0"/>
              <w:spacing w:line="360" w:lineRule="atLeast"/>
              <w:rPr>
                <w:rFonts w:hint="eastAsia" w:ascii="宋体" w:hAnsi="宋体" w:eastAsia="宋体" w:cs="宋体"/>
                <w:color w:val="000000"/>
                <w:sz w:val="20"/>
                <w:szCs w:val="20"/>
              </w:rPr>
            </w:pPr>
            <w:r>
              <w:rPr>
                <w:rFonts w:hint="eastAsia" w:ascii="宋体" w:hAnsi="宋体" w:eastAsia="宋体" w:cs="宋体"/>
                <w:color w:val="000000"/>
                <w:sz w:val="20"/>
                <w:szCs w:val="20"/>
              </w:rPr>
              <w:t>（3）与本项目的其他比选申请人同为一个单位负责人；</w:t>
            </w:r>
          </w:p>
          <w:p>
            <w:pPr>
              <w:adjustRightInd w:val="0"/>
              <w:snapToGrid w:val="0"/>
              <w:spacing w:line="360" w:lineRule="atLeast"/>
              <w:ind w:firstLine="400" w:firstLineChars="200"/>
              <w:rPr>
                <w:rFonts w:hint="eastAsia" w:ascii="宋体" w:hAnsi="宋体" w:eastAsia="宋体" w:cs="宋体"/>
                <w:color w:val="000000"/>
                <w:sz w:val="20"/>
                <w:szCs w:val="20"/>
              </w:rPr>
            </w:pPr>
            <w:r>
              <w:rPr>
                <w:rFonts w:hint="eastAsia" w:ascii="宋体" w:hAnsi="宋体" w:eastAsia="宋体" w:cs="宋体"/>
                <w:color w:val="000000"/>
                <w:sz w:val="20"/>
                <w:szCs w:val="20"/>
              </w:rPr>
              <w:t>单位负责人，是指单位法定代表人或者法律、行政法规规定代表单位行使职权的主要负责人。</w:t>
            </w:r>
          </w:p>
          <w:p>
            <w:pPr>
              <w:adjustRightInd w:val="0"/>
              <w:snapToGrid w:val="0"/>
              <w:spacing w:line="360" w:lineRule="atLeast"/>
              <w:rPr>
                <w:rFonts w:hint="eastAsia" w:ascii="宋体" w:hAnsi="宋体" w:eastAsia="宋体" w:cs="宋体"/>
                <w:color w:val="000000"/>
                <w:sz w:val="20"/>
                <w:szCs w:val="20"/>
              </w:rPr>
            </w:pPr>
            <w:r>
              <w:rPr>
                <w:rFonts w:hint="eastAsia" w:ascii="宋体" w:hAnsi="宋体" w:eastAsia="宋体" w:cs="宋体"/>
                <w:color w:val="000000"/>
                <w:sz w:val="20"/>
                <w:szCs w:val="20"/>
              </w:rPr>
              <w:t>（4）与本项目的其他比选申请人存在控股、管理关系；</w:t>
            </w:r>
          </w:p>
          <w:p>
            <w:pPr>
              <w:adjustRightInd w:val="0"/>
              <w:snapToGrid w:val="0"/>
              <w:spacing w:line="360" w:lineRule="atLeast"/>
              <w:ind w:firstLine="400" w:firstLineChars="200"/>
              <w:rPr>
                <w:rFonts w:hint="eastAsia" w:ascii="宋体" w:hAnsi="宋体" w:eastAsia="宋体" w:cs="宋体"/>
                <w:color w:val="000000"/>
                <w:sz w:val="20"/>
                <w:szCs w:val="20"/>
              </w:rPr>
            </w:pPr>
            <w:r>
              <w:rPr>
                <w:rFonts w:hint="eastAsia" w:ascii="宋体" w:hAnsi="宋体" w:eastAsia="宋体" w:cs="宋体"/>
                <w:color w:val="000000"/>
                <w:sz w:val="20"/>
                <w:szCs w:val="20"/>
              </w:rPr>
              <w:t>控股关系，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或者国有企事业单位通过投资关系、协议或者其他安排，能够实际支配公司行为的。</w:t>
            </w:r>
          </w:p>
          <w:p>
            <w:pPr>
              <w:adjustRightInd w:val="0"/>
              <w:snapToGrid w:val="0"/>
              <w:spacing w:line="360" w:lineRule="atLeast"/>
              <w:ind w:firstLine="400" w:firstLineChars="200"/>
              <w:rPr>
                <w:rFonts w:hint="eastAsia" w:ascii="宋体" w:hAnsi="宋体" w:eastAsia="宋体" w:cs="宋体"/>
                <w:color w:val="000000"/>
                <w:sz w:val="20"/>
                <w:szCs w:val="20"/>
              </w:rPr>
            </w:pPr>
            <w:r>
              <w:rPr>
                <w:rFonts w:hint="eastAsia" w:ascii="宋体" w:hAnsi="宋体" w:eastAsia="宋体" w:cs="宋体"/>
                <w:color w:val="000000"/>
                <w:sz w:val="20"/>
                <w:szCs w:val="20"/>
              </w:rPr>
              <w:t>管理关系，是指不具有出资持股关系的其他单位之间存在的管理与被管理关系。</w:t>
            </w:r>
          </w:p>
          <w:p>
            <w:pPr>
              <w:adjustRightInd w:val="0"/>
              <w:snapToGrid w:val="0"/>
              <w:spacing w:line="360" w:lineRule="atLeast"/>
              <w:rPr>
                <w:rFonts w:hint="eastAsia" w:ascii="宋体" w:hAnsi="宋体" w:eastAsia="宋体" w:cs="宋体"/>
                <w:color w:val="000000"/>
                <w:sz w:val="20"/>
                <w:szCs w:val="20"/>
              </w:rPr>
            </w:pPr>
            <w:r>
              <w:rPr>
                <w:rFonts w:hint="eastAsia" w:ascii="宋体" w:hAnsi="宋体" w:eastAsia="宋体" w:cs="宋体"/>
                <w:color w:val="000000"/>
                <w:sz w:val="20"/>
                <w:szCs w:val="20"/>
              </w:rPr>
              <w:t>（5）为本项目的代建人；</w:t>
            </w:r>
          </w:p>
          <w:p>
            <w:pPr>
              <w:adjustRightInd w:val="0"/>
              <w:snapToGrid w:val="0"/>
              <w:spacing w:line="360" w:lineRule="atLeast"/>
              <w:rPr>
                <w:rFonts w:hint="eastAsia" w:ascii="宋体" w:hAnsi="宋体" w:eastAsia="宋体" w:cs="宋体"/>
                <w:color w:val="000000"/>
                <w:sz w:val="20"/>
                <w:szCs w:val="20"/>
              </w:rPr>
            </w:pPr>
            <w:r>
              <w:rPr>
                <w:rFonts w:hint="eastAsia" w:ascii="宋体" w:hAnsi="宋体" w:eastAsia="宋体" w:cs="宋体"/>
                <w:color w:val="000000"/>
                <w:sz w:val="20"/>
                <w:szCs w:val="20"/>
              </w:rPr>
              <w:t>（6）为本项目的比选代理机构；</w:t>
            </w:r>
          </w:p>
          <w:p>
            <w:pPr>
              <w:adjustRightInd w:val="0"/>
              <w:snapToGrid w:val="0"/>
              <w:spacing w:line="360" w:lineRule="atLeast"/>
              <w:rPr>
                <w:rFonts w:hint="eastAsia" w:ascii="宋体" w:hAnsi="宋体" w:eastAsia="宋体" w:cs="宋体"/>
                <w:color w:val="000000"/>
                <w:sz w:val="20"/>
                <w:szCs w:val="20"/>
              </w:rPr>
            </w:pPr>
            <w:r>
              <w:rPr>
                <w:rFonts w:hint="eastAsia" w:ascii="宋体" w:hAnsi="宋体" w:eastAsia="宋体" w:cs="宋体"/>
                <w:color w:val="000000"/>
                <w:sz w:val="20"/>
                <w:szCs w:val="20"/>
              </w:rPr>
              <w:t>（7）与本项目的代建人或比选代理机构同为一个法定代表人；</w:t>
            </w:r>
          </w:p>
          <w:p>
            <w:pPr>
              <w:adjustRightInd w:val="0"/>
              <w:snapToGrid w:val="0"/>
              <w:spacing w:line="360" w:lineRule="atLeast"/>
              <w:rPr>
                <w:rFonts w:hint="eastAsia" w:ascii="宋体" w:hAnsi="宋体" w:eastAsia="宋体" w:cs="宋体"/>
                <w:color w:val="000000"/>
                <w:sz w:val="20"/>
                <w:szCs w:val="20"/>
              </w:rPr>
            </w:pPr>
            <w:r>
              <w:rPr>
                <w:rFonts w:hint="eastAsia" w:ascii="宋体" w:hAnsi="宋体" w:eastAsia="宋体" w:cs="宋体"/>
                <w:color w:val="000000"/>
                <w:sz w:val="20"/>
                <w:szCs w:val="20"/>
              </w:rPr>
              <w:t>（8）与本项目的代建人或比选代理机构存在控股或参股关系；</w:t>
            </w:r>
          </w:p>
          <w:p>
            <w:pPr>
              <w:adjustRightInd w:val="0"/>
              <w:snapToGrid w:val="0"/>
              <w:spacing w:line="360" w:lineRule="atLeast"/>
              <w:rPr>
                <w:rFonts w:hint="eastAsia" w:ascii="宋体" w:hAnsi="宋体" w:eastAsia="宋体" w:cs="宋体"/>
                <w:color w:val="000000"/>
                <w:sz w:val="20"/>
                <w:szCs w:val="20"/>
              </w:rPr>
            </w:pPr>
            <w:r>
              <w:rPr>
                <w:rFonts w:hint="eastAsia" w:ascii="宋体" w:hAnsi="宋体" w:eastAsia="宋体" w:cs="宋体"/>
                <w:color w:val="000000"/>
                <w:sz w:val="20"/>
                <w:szCs w:val="20"/>
              </w:rPr>
              <w:t>（9）与本项目对应工程的施工承包人以及建筑材料、建筑构配件和设备供应商有隶属关系或其他利害关系；</w:t>
            </w:r>
          </w:p>
          <w:p>
            <w:pPr>
              <w:adjustRightInd w:val="0"/>
              <w:snapToGrid w:val="0"/>
              <w:spacing w:line="360" w:lineRule="atLeast"/>
              <w:rPr>
                <w:rFonts w:hint="eastAsia" w:ascii="宋体" w:hAnsi="宋体" w:eastAsia="宋体" w:cs="宋体"/>
                <w:spacing w:val="-4"/>
                <w:kern w:val="0"/>
                <w:sz w:val="20"/>
                <w:szCs w:val="20"/>
              </w:rPr>
            </w:pPr>
            <w:r>
              <w:rPr>
                <w:rFonts w:hint="eastAsia" w:ascii="宋体" w:hAnsi="宋体" w:eastAsia="宋体" w:cs="宋体"/>
                <w:color w:val="000000"/>
                <w:sz w:val="20"/>
                <w:szCs w:val="20"/>
              </w:rPr>
              <w:t>（10）法律法规或比选人须知前附表规定的其他情形。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59" w:type="dxa"/>
            <w:vAlign w:val="center"/>
          </w:tcPr>
          <w:p>
            <w:pPr>
              <w:pStyle w:val="18"/>
              <w:spacing w:line="360" w:lineRule="exact"/>
              <w:jc w:val="center"/>
              <w:rPr>
                <w:rFonts w:hint="eastAsia" w:ascii="宋体" w:hAnsi="宋体" w:eastAsia="宋体" w:cs="宋体"/>
                <w:lang w:val="en-US" w:eastAsia="zh-CN"/>
              </w:rPr>
            </w:pPr>
            <w:r>
              <w:rPr>
                <w:rFonts w:hint="eastAsia" w:ascii="宋体" w:hAnsi="宋体" w:eastAsia="宋体" w:cs="宋体"/>
                <w:lang w:val="en-US" w:eastAsia="zh-CN"/>
              </w:rPr>
              <w:t>35</w:t>
            </w:r>
          </w:p>
        </w:tc>
        <w:tc>
          <w:tcPr>
            <w:tcW w:w="1984" w:type="dxa"/>
            <w:vAlign w:val="center"/>
          </w:tcPr>
          <w:p>
            <w:pPr>
              <w:adjustRightInd w:val="0"/>
              <w:snapToGrid w:val="0"/>
              <w:spacing w:line="360" w:lineRule="atLeast"/>
              <w:rPr>
                <w:rFonts w:hint="eastAsia" w:ascii="宋体" w:hAnsi="宋体" w:eastAsia="宋体" w:cs="宋体"/>
                <w:sz w:val="20"/>
                <w:szCs w:val="20"/>
              </w:rPr>
            </w:pPr>
            <w:r>
              <w:rPr>
                <w:rFonts w:hint="eastAsia" w:ascii="宋体" w:hAnsi="宋体" w:eastAsia="宋体" w:cs="宋体"/>
                <w:color w:val="000000"/>
                <w:sz w:val="20"/>
                <w:szCs w:val="20"/>
              </w:rPr>
              <w:t>比选申请文件中权利和义务应符合比选文件的规定</w:t>
            </w:r>
          </w:p>
        </w:tc>
        <w:tc>
          <w:tcPr>
            <w:tcW w:w="6237" w:type="dxa"/>
            <w:tcBorders>
              <w:bottom w:val="single" w:color="auto" w:sz="4" w:space="0"/>
            </w:tcBorders>
            <w:vAlign w:val="center"/>
          </w:tcPr>
          <w:p>
            <w:pPr>
              <w:adjustRightInd w:val="0"/>
              <w:snapToGrid w:val="0"/>
              <w:spacing w:line="360" w:lineRule="atLeast"/>
              <w:rPr>
                <w:rFonts w:hint="eastAsia" w:ascii="宋体" w:hAnsi="宋体" w:eastAsia="宋体" w:cs="宋体"/>
                <w:sz w:val="20"/>
                <w:szCs w:val="20"/>
              </w:rPr>
            </w:pPr>
            <w:r>
              <w:rPr>
                <w:rFonts w:hint="eastAsia" w:ascii="宋体" w:hAnsi="宋体" w:eastAsia="宋体" w:cs="宋体"/>
                <w:sz w:val="20"/>
                <w:szCs w:val="20"/>
              </w:rPr>
              <w:t>（1）比选申请人应接受比选文件规定的风险划分原则，未提出新的风险划分办法；</w:t>
            </w:r>
          </w:p>
          <w:p>
            <w:pPr>
              <w:adjustRightInd w:val="0"/>
              <w:snapToGrid w:val="0"/>
              <w:spacing w:line="360" w:lineRule="atLeast"/>
              <w:rPr>
                <w:rFonts w:hint="eastAsia" w:ascii="宋体" w:hAnsi="宋体" w:eastAsia="宋体" w:cs="宋体"/>
                <w:sz w:val="20"/>
                <w:szCs w:val="20"/>
              </w:rPr>
            </w:pPr>
            <w:r>
              <w:rPr>
                <w:rFonts w:hint="eastAsia" w:ascii="宋体" w:hAnsi="宋体" w:eastAsia="宋体" w:cs="宋体"/>
                <w:sz w:val="20"/>
                <w:szCs w:val="20"/>
              </w:rPr>
              <w:t>（2）比选申请人未增加委托人的责任范围，或减少比选申请人义务；</w:t>
            </w:r>
          </w:p>
          <w:p>
            <w:pPr>
              <w:adjustRightInd w:val="0"/>
              <w:snapToGrid w:val="0"/>
              <w:spacing w:line="360" w:lineRule="atLeast"/>
              <w:rPr>
                <w:rFonts w:hint="eastAsia" w:ascii="宋体" w:hAnsi="宋体" w:eastAsia="宋体" w:cs="宋体"/>
                <w:sz w:val="20"/>
                <w:szCs w:val="20"/>
              </w:rPr>
            </w:pPr>
            <w:r>
              <w:rPr>
                <w:rFonts w:hint="eastAsia" w:ascii="宋体" w:hAnsi="宋体" w:eastAsia="宋体" w:cs="宋体"/>
                <w:sz w:val="20"/>
                <w:szCs w:val="20"/>
              </w:rPr>
              <w:t>（3）比选申请人未提出不同的工程验收、计量、支付办法；</w:t>
            </w:r>
          </w:p>
          <w:p>
            <w:pPr>
              <w:adjustRightInd w:val="0"/>
              <w:snapToGrid w:val="0"/>
              <w:spacing w:line="360" w:lineRule="atLeast"/>
              <w:rPr>
                <w:rFonts w:hint="eastAsia" w:ascii="宋体" w:hAnsi="宋体" w:eastAsia="宋体" w:cs="宋体"/>
                <w:sz w:val="20"/>
                <w:szCs w:val="20"/>
              </w:rPr>
            </w:pPr>
            <w:r>
              <w:rPr>
                <w:rFonts w:hint="eastAsia" w:ascii="宋体" w:hAnsi="宋体" w:eastAsia="宋体" w:cs="宋体"/>
                <w:sz w:val="20"/>
                <w:szCs w:val="20"/>
              </w:rPr>
              <w:t>（4）比选申请人对合同纠纷、事故处理办法未提出异议；</w:t>
            </w:r>
          </w:p>
          <w:p>
            <w:pPr>
              <w:adjustRightInd w:val="0"/>
              <w:snapToGrid w:val="0"/>
              <w:spacing w:line="360" w:lineRule="atLeast"/>
              <w:rPr>
                <w:rFonts w:hint="eastAsia" w:ascii="宋体" w:hAnsi="宋体" w:eastAsia="宋体" w:cs="宋体"/>
                <w:sz w:val="20"/>
                <w:szCs w:val="20"/>
              </w:rPr>
            </w:pPr>
            <w:r>
              <w:rPr>
                <w:rFonts w:hint="eastAsia" w:ascii="宋体" w:hAnsi="宋体" w:eastAsia="宋体" w:cs="宋体"/>
                <w:sz w:val="20"/>
                <w:szCs w:val="20"/>
              </w:rPr>
              <w:t xml:space="preserve">（5）比选申请人在比选活动中无欺诈行为，比选人若发现比选申请人存在串通比选、弄虚作假、行贿等违法行为情形的，应否决其比选申请，并保留上报上级及行业主管部门进行失信行为处理的权利。 </w:t>
            </w:r>
          </w:p>
          <w:p>
            <w:pPr>
              <w:adjustRightInd w:val="0"/>
              <w:snapToGrid w:val="0"/>
              <w:spacing w:line="360" w:lineRule="atLeast"/>
              <w:rPr>
                <w:rFonts w:hint="eastAsia" w:ascii="宋体" w:hAnsi="宋体" w:eastAsia="宋体" w:cs="宋体"/>
                <w:spacing w:val="-4"/>
                <w:kern w:val="0"/>
                <w:sz w:val="20"/>
                <w:szCs w:val="20"/>
              </w:rPr>
            </w:pPr>
            <w:r>
              <w:rPr>
                <w:rFonts w:hint="eastAsia" w:ascii="宋体" w:hAnsi="宋体" w:eastAsia="宋体" w:cs="宋体"/>
                <w:sz w:val="20"/>
                <w:szCs w:val="20"/>
              </w:rPr>
              <w:t>（6）比选申请人未对合同条款有重要保留。</w:t>
            </w:r>
          </w:p>
        </w:tc>
      </w:tr>
    </w:tbl>
    <w:p>
      <w:pPr>
        <w:tabs>
          <w:tab w:val="left" w:pos="360"/>
        </w:tabs>
        <w:ind w:left="360"/>
        <w:jc w:val="center"/>
        <w:rPr>
          <w:rFonts w:hint="eastAsia" w:ascii="仿宋" w:hAnsi="仿宋" w:eastAsia="仿宋" w:cs="仿宋"/>
          <w:sz w:val="20"/>
          <w:szCs w:val="20"/>
        </w:rPr>
      </w:pPr>
    </w:p>
    <w:p>
      <w:pPr>
        <w:tabs>
          <w:tab w:val="left" w:pos="360"/>
        </w:tabs>
        <w:ind w:left="360"/>
        <w:jc w:val="center"/>
        <w:rPr>
          <w:rFonts w:hint="eastAsia" w:ascii="仿宋" w:hAnsi="仿宋" w:eastAsia="仿宋" w:cs="仿宋"/>
        </w:rPr>
      </w:pPr>
    </w:p>
    <w:p>
      <w:pPr>
        <w:tabs>
          <w:tab w:val="left" w:pos="360"/>
        </w:tabs>
        <w:ind w:left="360"/>
        <w:jc w:val="center"/>
        <w:rPr>
          <w:rFonts w:hint="eastAsia" w:ascii="仿宋" w:hAnsi="仿宋" w:eastAsia="仿宋" w:cs="仿宋"/>
        </w:rPr>
      </w:pPr>
    </w:p>
    <w:p>
      <w:pPr>
        <w:spacing w:before="78" w:line="218" w:lineRule="auto"/>
        <w:rPr>
          <w:rFonts w:hint="eastAsia" w:ascii="仿宋" w:hAnsi="仿宋" w:eastAsia="仿宋" w:cs="仿宋"/>
          <w:spacing w:val="-6"/>
          <w:sz w:val="24"/>
        </w:rPr>
      </w:pPr>
    </w:p>
    <w:p>
      <w:pPr>
        <w:spacing w:before="78" w:line="218" w:lineRule="auto"/>
        <w:jc w:val="center"/>
        <w:rPr>
          <w:rFonts w:hint="eastAsia" w:ascii="仿宋" w:hAnsi="仿宋" w:eastAsia="仿宋" w:cs="仿宋"/>
          <w:spacing w:val="-6"/>
          <w:sz w:val="24"/>
        </w:rPr>
      </w:pPr>
    </w:p>
    <w:p>
      <w:pPr>
        <w:spacing w:before="78" w:line="218" w:lineRule="auto"/>
        <w:jc w:val="center"/>
        <w:rPr>
          <w:rFonts w:hint="eastAsia" w:ascii="仿宋" w:hAnsi="仿宋" w:eastAsia="仿宋" w:cs="仿宋"/>
          <w:spacing w:val="-6"/>
          <w:sz w:val="24"/>
        </w:rPr>
      </w:pPr>
    </w:p>
    <w:p>
      <w:pPr>
        <w:spacing w:before="78" w:line="218" w:lineRule="auto"/>
        <w:jc w:val="center"/>
        <w:rPr>
          <w:rFonts w:hint="eastAsia" w:ascii="仿宋" w:hAnsi="仿宋" w:eastAsia="仿宋" w:cs="仿宋"/>
          <w:spacing w:val="-6"/>
          <w:sz w:val="24"/>
        </w:rPr>
      </w:pPr>
    </w:p>
    <w:p>
      <w:pPr>
        <w:spacing w:before="78" w:line="218" w:lineRule="auto"/>
        <w:jc w:val="center"/>
        <w:rPr>
          <w:rFonts w:hint="eastAsia" w:ascii="仿宋" w:hAnsi="仿宋" w:eastAsia="仿宋" w:cs="仿宋"/>
          <w:spacing w:val="-6"/>
          <w:sz w:val="24"/>
        </w:rPr>
      </w:pPr>
    </w:p>
    <w:p>
      <w:pPr>
        <w:spacing w:before="78" w:line="218" w:lineRule="auto"/>
        <w:jc w:val="center"/>
        <w:rPr>
          <w:rFonts w:hint="eastAsia" w:ascii="仿宋" w:hAnsi="仿宋" w:eastAsia="仿宋" w:cs="仿宋"/>
          <w:spacing w:val="-6"/>
          <w:sz w:val="24"/>
        </w:rPr>
      </w:pPr>
    </w:p>
    <w:p>
      <w:pPr>
        <w:spacing w:before="78" w:line="218" w:lineRule="auto"/>
        <w:rPr>
          <w:rFonts w:hint="eastAsia" w:ascii="仿宋" w:hAnsi="仿宋" w:eastAsia="仿宋" w:cs="仿宋"/>
          <w:spacing w:val="-6"/>
          <w:sz w:val="24"/>
        </w:rPr>
      </w:pPr>
    </w:p>
    <w:p>
      <w:pPr>
        <w:rPr>
          <w:rFonts w:hint="eastAsia" w:ascii="仿宋" w:hAnsi="仿宋" w:eastAsia="仿宋" w:cs="仿宋"/>
          <w:spacing w:val="-6"/>
          <w:sz w:val="24"/>
        </w:rPr>
      </w:pPr>
      <w:r>
        <w:rPr>
          <w:rFonts w:hint="eastAsia" w:ascii="仿宋" w:hAnsi="仿宋" w:eastAsia="仿宋" w:cs="仿宋"/>
          <w:spacing w:val="-6"/>
          <w:sz w:val="24"/>
        </w:rPr>
        <w:br w:type="page"/>
      </w:r>
    </w:p>
    <w:p>
      <w:pPr>
        <w:spacing w:line="360" w:lineRule="auto"/>
        <w:jc w:val="center"/>
        <w:rPr>
          <w:rFonts w:hint="eastAsia" w:ascii="仿宋" w:hAnsi="仿宋" w:eastAsia="仿宋" w:cs="仿宋"/>
        </w:rPr>
      </w:pPr>
      <w:r>
        <w:rPr>
          <w:rFonts w:hint="eastAsia" w:ascii="仿宋_GB2312" w:hAnsi="仿宋_GB2312" w:eastAsia="仿宋_GB2312" w:cs="仿宋_GB2312"/>
        </w:rPr>
        <w:t>附录 1 资格审查条件（资质最低要求）</w:t>
      </w:r>
    </w:p>
    <w:tbl>
      <w:tblPr>
        <w:tblStyle w:val="31"/>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2" w:hRule="atLeast"/>
          <w:jc w:val="center"/>
        </w:trPr>
        <w:tc>
          <w:tcPr>
            <w:tcW w:w="8189" w:type="dxa"/>
          </w:tcPr>
          <w:p>
            <w:pPr>
              <w:pStyle w:val="50"/>
              <w:spacing w:before="231" w:line="219" w:lineRule="auto"/>
              <w:ind w:left="3905"/>
              <w:rPr>
                <w:rFonts w:hint="eastAsia" w:ascii="宋体" w:hAnsi="宋体" w:eastAsia="宋体" w:cs="宋体"/>
                <w:sz w:val="20"/>
                <w:szCs w:val="20"/>
              </w:rPr>
            </w:pPr>
            <w:r>
              <w:rPr>
                <w:rFonts w:hint="eastAsia" w:ascii="宋体" w:hAnsi="宋体" w:eastAsia="宋体" w:cs="宋体"/>
                <w:spacing w:val="-5"/>
                <w:sz w:val="20"/>
                <w:szCs w:val="20"/>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8189" w:type="dxa"/>
            <w:vAlign w:val="center"/>
          </w:tcPr>
          <w:p>
            <w:pPr>
              <w:numPr>
                <w:ilvl w:val="255"/>
                <w:numId w:val="0"/>
              </w:numPr>
              <w:spacing w:line="360" w:lineRule="auto"/>
              <w:rPr>
                <w:rFonts w:hint="eastAsia" w:ascii="宋体" w:hAnsi="宋体" w:eastAsia="宋体" w:cs="宋体"/>
                <w:kern w:val="0"/>
                <w:sz w:val="20"/>
                <w:szCs w:val="20"/>
              </w:rPr>
            </w:pPr>
            <w:r>
              <w:rPr>
                <w:rFonts w:hint="eastAsia" w:ascii="宋体" w:hAnsi="宋体" w:eastAsia="宋体" w:cs="宋体"/>
                <w:kern w:val="0"/>
                <w:sz w:val="20"/>
                <w:szCs w:val="20"/>
                <w:highlight w:val="none"/>
                <w:lang w:eastAsia="zh-CN"/>
              </w:rPr>
              <w:t>比选申请人</w:t>
            </w:r>
            <w:r>
              <w:rPr>
                <w:rFonts w:hint="eastAsia" w:ascii="宋体" w:hAnsi="宋体" w:eastAsia="宋体" w:cs="宋体"/>
                <w:kern w:val="0"/>
                <w:sz w:val="20"/>
                <w:szCs w:val="20"/>
              </w:rPr>
              <w:t>具备独立法人资格，持有效营业执照、基本账户开户许可证或基本账户信息证明材料。</w:t>
            </w:r>
          </w:p>
        </w:tc>
      </w:tr>
    </w:tbl>
    <w:p>
      <w:pPr>
        <w:spacing w:line="360" w:lineRule="auto"/>
        <w:jc w:val="center"/>
        <w:rPr>
          <w:rFonts w:hint="eastAsia" w:ascii="宋体" w:hAnsi="宋体" w:eastAsia="宋体" w:cs="宋体"/>
          <w:sz w:val="20"/>
          <w:szCs w:val="20"/>
        </w:rPr>
      </w:pPr>
    </w:p>
    <w:p>
      <w:pPr>
        <w:spacing w:line="360" w:lineRule="auto"/>
        <w:jc w:val="center"/>
        <w:rPr>
          <w:rFonts w:hint="eastAsia" w:ascii="宋体" w:hAnsi="宋体" w:eastAsia="宋体" w:cs="宋体"/>
          <w:sz w:val="20"/>
          <w:szCs w:val="20"/>
        </w:rPr>
      </w:pPr>
      <w:r>
        <w:rPr>
          <w:rFonts w:hint="eastAsia" w:ascii="宋体" w:hAnsi="宋体" w:eastAsia="宋体" w:cs="宋体"/>
          <w:sz w:val="20"/>
          <w:szCs w:val="20"/>
        </w:rPr>
        <w:t>附录 2 资格审查条件（业绩最低要求）</w:t>
      </w:r>
    </w:p>
    <w:tbl>
      <w:tblPr>
        <w:tblStyle w:val="31"/>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jc w:val="center"/>
        </w:trPr>
        <w:tc>
          <w:tcPr>
            <w:tcW w:w="8189" w:type="dxa"/>
          </w:tcPr>
          <w:p>
            <w:pPr>
              <w:pStyle w:val="50"/>
              <w:spacing w:before="171" w:line="219" w:lineRule="auto"/>
              <w:ind w:left="3905"/>
              <w:rPr>
                <w:rFonts w:hint="eastAsia" w:ascii="宋体" w:hAnsi="宋体" w:eastAsia="宋体" w:cs="宋体"/>
                <w:sz w:val="20"/>
                <w:szCs w:val="20"/>
              </w:rPr>
            </w:pPr>
            <w:r>
              <w:rPr>
                <w:rFonts w:hint="eastAsia" w:ascii="宋体" w:hAnsi="宋体" w:eastAsia="宋体" w:cs="宋体"/>
                <w:spacing w:val="-5"/>
                <w:sz w:val="20"/>
                <w:szCs w:val="20"/>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 w:hRule="atLeast"/>
          <w:jc w:val="center"/>
        </w:trPr>
        <w:tc>
          <w:tcPr>
            <w:tcW w:w="8189" w:type="dxa"/>
            <w:vAlign w:val="center"/>
          </w:tcPr>
          <w:p>
            <w:pPr>
              <w:spacing w:line="360" w:lineRule="auto"/>
              <w:rPr>
                <w:rFonts w:hint="eastAsia" w:ascii="宋体" w:hAnsi="宋体" w:eastAsia="宋体" w:cs="宋体"/>
                <w:kern w:val="0"/>
                <w:sz w:val="20"/>
                <w:szCs w:val="20"/>
              </w:rPr>
            </w:pPr>
            <w:bookmarkStart w:id="30" w:name="OLE_LINK1"/>
            <w:r>
              <w:rPr>
                <w:rFonts w:hint="eastAsia" w:ascii="宋体" w:hAnsi="宋体" w:eastAsia="宋体" w:cs="宋体"/>
                <w:kern w:val="0"/>
                <w:sz w:val="20"/>
                <w:szCs w:val="20"/>
              </w:rPr>
              <w:t>近三年（自2022年1月1日起至今，以合同签订时间为准）至少完成过1个安全类技术服务项目业绩，提供影印件（黑白或彩色）作为证明材料。近三年（自 2022年1月1日至</w:t>
            </w:r>
            <w:r>
              <w:rPr>
                <w:rFonts w:hint="eastAsia" w:ascii="宋体" w:hAnsi="宋体" w:eastAsia="宋体" w:cs="宋体"/>
                <w:kern w:val="0"/>
                <w:sz w:val="20"/>
                <w:szCs w:val="20"/>
                <w:highlight w:val="none"/>
                <w:lang w:eastAsia="zh-CN"/>
              </w:rPr>
              <w:t>比选申请</w:t>
            </w:r>
            <w:r>
              <w:rPr>
                <w:rFonts w:hint="eastAsia" w:ascii="宋体" w:hAnsi="宋体" w:eastAsia="宋体" w:cs="宋体"/>
                <w:kern w:val="0"/>
                <w:sz w:val="20"/>
                <w:szCs w:val="20"/>
                <w:highlight w:val="none"/>
              </w:rPr>
              <w:t>截止日）。</w:t>
            </w:r>
            <w:bookmarkEnd w:id="30"/>
          </w:p>
        </w:tc>
      </w:tr>
    </w:tbl>
    <w:p>
      <w:pPr>
        <w:spacing w:line="360" w:lineRule="auto"/>
        <w:jc w:val="center"/>
        <w:rPr>
          <w:rFonts w:hint="eastAsia" w:ascii="宋体" w:hAnsi="宋体" w:eastAsia="宋体" w:cs="宋体"/>
          <w:sz w:val="20"/>
          <w:szCs w:val="20"/>
        </w:rPr>
      </w:pPr>
    </w:p>
    <w:p>
      <w:pPr>
        <w:spacing w:line="360" w:lineRule="auto"/>
        <w:jc w:val="center"/>
        <w:rPr>
          <w:rFonts w:hint="eastAsia" w:ascii="宋体" w:hAnsi="宋体" w:eastAsia="宋体" w:cs="宋体"/>
          <w:sz w:val="20"/>
          <w:szCs w:val="20"/>
        </w:rPr>
      </w:pPr>
      <w:r>
        <w:rPr>
          <w:rFonts w:hint="eastAsia" w:ascii="宋体" w:hAnsi="宋体" w:eastAsia="宋体" w:cs="宋体"/>
          <w:sz w:val="20"/>
          <w:szCs w:val="20"/>
        </w:rPr>
        <w:t>附录 3  资格审查条件（主要人员最低要求）</w:t>
      </w:r>
    </w:p>
    <w:tbl>
      <w:tblPr>
        <w:tblStyle w:val="31"/>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7"/>
        <w:gridCol w:w="67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8" w:hRule="atLeast"/>
          <w:jc w:val="center"/>
        </w:trPr>
        <w:tc>
          <w:tcPr>
            <w:tcW w:w="1387" w:type="dxa"/>
          </w:tcPr>
          <w:p>
            <w:pPr>
              <w:pStyle w:val="50"/>
              <w:spacing w:before="166" w:line="221" w:lineRule="auto"/>
              <w:ind w:left="503"/>
              <w:rPr>
                <w:rFonts w:hint="eastAsia" w:ascii="宋体" w:hAnsi="宋体" w:eastAsia="宋体" w:cs="宋体"/>
                <w:sz w:val="20"/>
                <w:szCs w:val="20"/>
              </w:rPr>
            </w:pPr>
            <w:r>
              <w:rPr>
                <w:rFonts w:hint="eastAsia" w:ascii="宋体" w:hAnsi="宋体" w:eastAsia="宋体" w:cs="宋体"/>
                <w:spacing w:val="-5"/>
                <w:sz w:val="20"/>
                <w:szCs w:val="20"/>
              </w:rPr>
              <w:t>人员</w:t>
            </w:r>
          </w:p>
        </w:tc>
        <w:tc>
          <w:tcPr>
            <w:tcW w:w="6799" w:type="dxa"/>
          </w:tcPr>
          <w:p>
            <w:pPr>
              <w:pStyle w:val="50"/>
              <w:spacing w:before="166" w:line="219" w:lineRule="auto"/>
              <w:ind w:left="3002"/>
              <w:rPr>
                <w:rFonts w:hint="eastAsia" w:ascii="宋体" w:hAnsi="宋体" w:eastAsia="宋体" w:cs="宋体"/>
                <w:sz w:val="20"/>
                <w:szCs w:val="20"/>
              </w:rPr>
            </w:pPr>
            <w:r>
              <w:rPr>
                <w:rFonts w:hint="eastAsia" w:ascii="宋体" w:hAnsi="宋体" w:eastAsia="宋体" w:cs="宋体"/>
                <w:spacing w:val="-4"/>
                <w:sz w:val="20"/>
                <w:szCs w:val="20"/>
              </w:rPr>
              <w:t>人员要求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jc w:val="center"/>
        </w:trPr>
        <w:tc>
          <w:tcPr>
            <w:tcW w:w="1387" w:type="dxa"/>
            <w:vAlign w:val="center"/>
          </w:tcPr>
          <w:p>
            <w:pPr>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项目负责人</w:t>
            </w:r>
          </w:p>
        </w:tc>
        <w:tc>
          <w:tcPr>
            <w:tcW w:w="6799" w:type="dxa"/>
            <w:vAlign w:val="center"/>
          </w:tcPr>
          <w:p>
            <w:pPr>
              <w:spacing w:line="360" w:lineRule="auto"/>
              <w:jc w:val="left"/>
              <w:rPr>
                <w:rFonts w:hint="eastAsia" w:ascii="宋体" w:hAnsi="宋体" w:eastAsia="宋体" w:cs="宋体"/>
                <w:kern w:val="0"/>
                <w:sz w:val="20"/>
                <w:szCs w:val="20"/>
              </w:rPr>
            </w:pPr>
            <w:r>
              <w:rPr>
                <w:rFonts w:hint="eastAsia" w:ascii="宋体" w:hAnsi="宋体" w:eastAsia="宋体" w:cs="宋体"/>
                <w:kern w:val="0"/>
                <w:sz w:val="20"/>
                <w:szCs w:val="20"/>
              </w:rPr>
              <w:t>项目负责人（1名），应具有高级及以上技术职称。</w:t>
            </w:r>
          </w:p>
        </w:tc>
      </w:tr>
    </w:tbl>
    <w:p>
      <w:pPr>
        <w:spacing w:line="360" w:lineRule="auto"/>
        <w:jc w:val="center"/>
        <w:rPr>
          <w:rFonts w:hint="eastAsia" w:ascii="宋体" w:hAnsi="宋体" w:eastAsia="宋体" w:cs="宋体"/>
          <w:sz w:val="20"/>
          <w:szCs w:val="20"/>
        </w:rPr>
      </w:pPr>
    </w:p>
    <w:p>
      <w:pPr>
        <w:spacing w:line="360" w:lineRule="auto"/>
        <w:jc w:val="center"/>
        <w:rPr>
          <w:rFonts w:hint="eastAsia" w:ascii="宋体" w:hAnsi="宋体" w:eastAsia="宋体" w:cs="宋体"/>
          <w:sz w:val="20"/>
          <w:szCs w:val="20"/>
        </w:rPr>
      </w:pPr>
      <w:r>
        <w:rPr>
          <w:rFonts w:hint="eastAsia" w:ascii="宋体" w:hAnsi="宋体" w:eastAsia="宋体" w:cs="宋体"/>
          <w:sz w:val="20"/>
          <w:szCs w:val="20"/>
        </w:rPr>
        <w:t>附录4  资格审查条件（信誉最低要求）</w:t>
      </w:r>
    </w:p>
    <w:tbl>
      <w:tblPr>
        <w:tblStyle w:val="31"/>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jc w:val="center"/>
        </w:trPr>
        <w:tc>
          <w:tcPr>
            <w:tcW w:w="8212" w:type="dxa"/>
          </w:tcPr>
          <w:p>
            <w:pPr>
              <w:pStyle w:val="50"/>
              <w:spacing w:before="171" w:line="219" w:lineRule="auto"/>
              <w:ind w:left="3917"/>
              <w:rPr>
                <w:rFonts w:hint="eastAsia" w:ascii="宋体" w:hAnsi="宋体" w:eastAsia="宋体" w:cs="宋体"/>
                <w:sz w:val="20"/>
                <w:szCs w:val="20"/>
              </w:rPr>
            </w:pPr>
            <w:r>
              <w:rPr>
                <w:rFonts w:hint="eastAsia" w:ascii="宋体" w:hAnsi="宋体" w:eastAsia="宋体" w:cs="宋体"/>
                <w:spacing w:val="-5"/>
                <w:sz w:val="20"/>
                <w:szCs w:val="20"/>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jc w:val="center"/>
        </w:trPr>
        <w:tc>
          <w:tcPr>
            <w:tcW w:w="8212" w:type="dxa"/>
          </w:tcPr>
          <w:p>
            <w:pPr>
              <w:spacing w:line="360" w:lineRule="auto"/>
              <w:ind w:firstLine="400" w:firstLineChars="200"/>
              <w:rPr>
                <w:rFonts w:hint="eastAsia" w:ascii="宋体" w:hAnsi="宋体" w:eastAsia="宋体" w:cs="宋体"/>
                <w:kern w:val="0"/>
                <w:sz w:val="20"/>
                <w:szCs w:val="20"/>
              </w:rPr>
            </w:pPr>
            <w:r>
              <w:rPr>
                <w:rFonts w:hint="eastAsia" w:ascii="宋体" w:hAnsi="宋体" w:eastAsia="宋体" w:cs="宋体"/>
                <w:kern w:val="0"/>
                <w:sz w:val="20"/>
                <w:szCs w:val="20"/>
              </w:rPr>
              <w:t>（1）对通过“国家企业信用信息公示系统”（http://www.gsxt.gov.cn）中查询为严重违法失信企业的，不得参加比选。</w:t>
            </w:r>
          </w:p>
          <w:p>
            <w:pPr>
              <w:spacing w:line="360" w:lineRule="auto"/>
              <w:ind w:firstLine="400" w:firstLineChars="200"/>
              <w:rPr>
                <w:rFonts w:hint="eastAsia" w:ascii="宋体" w:hAnsi="宋体" w:eastAsia="宋体" w:cs="宋体"/>
                <w:kern w:val="0"/>
                <w:sz w:val="20"/>
                <w:szCs w:val="20"/>
              </w:rPr>
            </w:pPr>
            <w:r>
              <w:rPr>
                <w:rFonts w:hint="eastAsia" w:ascii="宋体" w:hAnsi="宋体" w:eastAsia="宋体" w:cs="宋体"/>
                <w:kern w:val="0"/>
                <w:sz w:val="20"/>
                <w:szCs w:val="20"/>
              </w:rPr>
              <w:t>（2）截至比选申请文件递交截止时间，在“信用中国”网站（www.creditchina.gov.cn）、中国执行信息公开网（https://zxgk.court.gov.cn/shixin/）中查询被列入失信被执行人名单（通过”信用中国“查询”失信被执行人“链接”中国执行信息公开网  ( https://zxgk.court.gov.cn/shixin/） ”的结果）。不得参加比选。</w:t>
            </w:r>
          </w:p>
          <w:p>
            <w:pPr>
              <w:spacing w:line="360" w:lineRule="auto"/>
              <w:ind w:firstLine="400" w:firstLineChars="200"/>
              <w:rPr>
                <w:rFonts w:hint="eastAsia" w:ascii="宋体" w:hAnsi="宋体" w:eastAsia="宋体" w:cs="宋体"/>
                <w:kern w:val="0"/>
                <w:sz w:val="20"/>
                <w:szCs w:val="20"/>
              </w:rPr>
            </w:pPr>
            <w:r>
              <w:rPr>
                <w:rFonts w:hint="eastAsia" w:ascii="宋体" w:hAnsi="宋体" w:eastAsia="宋体" w:cs="宋体"/>
                <w:kern w:val="0"/>
                <w:sz w:val="20"/>
                <w:szCs w:val="20"/>
              </w:rPr>
              <w:t>（3）在2022年1月1日至本项目</w:t>
            </w:r>
            <w:r>
              <w:rPr>
                <w:rFonts w:hint="eastAsia" w:ascii="宋体" w:hAnsi="宋体" w:eastAsia="宋体" w:cs="宋体"/>
                <w:kern w:val="0"/>
                <w:sz w:val="20"/>
                <w:szCs w:val="20"/>
                <w:lang w:val="en-US" w:eastAsia="zh-CN"/>
              </w:rPr>
              <w:t>比选申请</w:t>
            </w:r>
            <w:r>
              <w:rPr>
                <w:rFonts w:hint="eastAsia" w:ascii="宋体" w:hAnsi="宋体" w:eastAsia="宋体" w:cs="宋体"/>
                <w:kern w:val="0"/>
                <w:sz w:val="20"/>
                <w:szCs w:val="20"/>
              </w:rPr>
              <w:t>截止日期间，比选申请人（单位）、法定代表人、项目负责人被人民法院生效判决或裁定认定为行贿犯罪的（包括行贿罪、单位行贿罪、对单位行贿罪、介绍贿赂罪等），不得参加比选。</w:t>
            </w:r>
          </w:p>
        </w:tc>
      </w:tr>
    </w:tbl>
    <w:p>
      <w:pPr>
        <w:tabs>
          <w:tab w:val="left" w:pos="360"/>
        </w:tabs>
        <w:rPr>
          <w:rFonts w:hint="eastAsia" w:ascii="仿宋" w:hAnsi="仿宋" w:eastAsia="仿宋" w:cs="仿宋"/>
          <w:b/>
          <w:sz w:val="32"/>
          <w:szCs w:val="32"/>
        </w:rPr>
      </w:pPr>
    </w:p>
    <w:p>
      <w:pPr>
        <w:rPr>
          <w:sz w:val="36"/>
          <w:szCs w:val="36"/>
        </w:rPr>
      </w:pPr>
      <w:r>
        <w:rPr>
          <w:rFonts w:hint="eastAsia"/>
          <w:sz w:val="36"/>
          <w:szCs w:val="36"/>
        </w:rPr>
        <w:br w:type="page"/>
      </w:r>
    </w:p>
    <w:p>
      <w:pPr>
        <w:tabs>
          <w:tab w:val="left" w:pos="360"/>
        </w:tabs>
        <w:jc w:val="center"/>
        <w:outlineLvl w:val="1"/>
        <w:rPr>
          <w:rFonts w:hint="eastAsia" w:ascii="仿宋" w:hAnsi="仿宋" w:eastAsia="仿宋" w:cs="仿宋"/>
          <w:b/>
          <w:sz w:val="32"/>
          <w:szCs w:val="32"/>
        </w:rPr>
      </w:pPr>
      <w:r>
        <w:rPr>
          <w:rFonts w:hint="eastAsia" w:ascii="仿宋_GB2312" w:hAnsi="仿宋_GB2312" w:eastAsia="仿宋_GB2312" w:cs="仿宋_GB2312"/>
          <w:b/>
          <w:sz w:val="32"/>
          <w:szCs w:val="32"/>
        </w:rPr>
        <w:t>比选申请须</w:t>
      </w:r>
      <w:r>
        <w:rPr>
          <w:rFonts w:hint="eastAsia" w:ascii="仿宋" w:hAnsi="仿宋" w:eastAsia="仿宋" w:cs="仿宋"/>
          <w:b/>
          <w:sz w:val="32"/>
          <w:szCs w:val="32"/>
        </w:rPr>
        <w:t>知</w:t>
      </w:r>
      <w:bookmarkEnd w:id="18"/>
      <w:bookmarkEnd w:id="19"/>
      <w:bookmarkEnd w:id="20"/>
      <w:bookmarkEnd w:id="21"/>
      <w:bookmarkEnd w:id="22"/>
      <w:bookmarkEnd w:id="23"/>
      <w:bookmarkEnd w:id="24"/>
      <w:bookmarkEnd w:id="25"/>
      <w:bookmarkEnd w:id="26"/>
    </w:p>
    <w:p>
      <w:pPr>
        <w:keepNext/>
        <w:keepLines/>
        <w:spacing w:before="120" w:beforeLines="50" w:after="120" w:afterLines="50"/>
        <w:rPr>
          <w:rFonts w:hint="eastAsia" w:ascii="仿宋_GB2312" w:hAnsi="仿宋_GB2312" w:eastAsia="仿宋_GB2312" w:cs="仿宋_GB2312"/>
          <w:b/>
          <w:bCs/>
          <w:kern w:val="0"/>
          <w:sz w:val="28"/>
          <w:szCs w:val="28"/>
        </w:rPr>
      </w:pPr>
      <w:bookmarkStart w:id="31" w:name="_Toc528624775"/>
      <w:bookmarkStart w:id="32" w:name="_Toc257187560"/>
      <w:r>
        <w:rPr>
          <w:rFonts w:hint="eastAsia" w:ascii="仿宋_GB2312" w:hAnsi="仿宋_GB2312" w:eastAsia="仿宋_GB2312" w:cs="仿宋_GB2312"/>
          <w:b/>
          <w:bCs/>
          <w:kern w:val="0"/>
          <w:sz w:val="28"/>
          <w:szCs w:val="28"/>
        </w:rPr>
        <w:t>1. 总则</w:t>
      </w:r>
    </w:p>
    <w:p>
      <w:pPr>
        <w:autoSpaceDE w:val="0"/>
        <w:autoSpaceDN w:val="0"/>
        <w:spacing w:line="360" w:lineRule="auto"/>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1.1 项目概况</w:t>
      </w:r>
    </w:p>
    <w:p>
      <w:pPr>
        <w:autoSpaceDE w:val="0"/>
        <w:autoSpaceDN w:val="0"/>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1.1.1  根据《中华人民共和国招标</w:t>
      </w:r>
      <w:r>
        <w:rPr>
          <w:rFonts w:hint="eastAsia" w:ascii="仿宋_GB2312" w:hAnsi="仿宋_GB2312" w:eastAsia="仿宋_GB2312" w:cs="仿宋_GB2312"/>
          <w:kern w:val="0"/>
          <w:sz w:val="28"/>
          <w:szCs w:val="28"/>
          <w:lang w:val="en-US" w:eastAsia="zh-CN"/>
        </w:rPr>
        <w:t>投标</w:t>
      </w:r>
      <w:r>
        <w:rPr>
          <w:rFonts w:hint="eastAsia" w:ascii="仿宋_GB2312" w:hAnsi="仿宋_GB2312" w:eastAsia="仿宋_GB2312" w:cs="仿宋_GB2312"/>
          <w:kern w:val="0"/>
          <w:sz w:val="28"/>
          <w:szCs w:val="28"/>
        </w:rPr>
        <w:t>法》《中华人民共和国招标</w:t>
      </w:r>
      <w:r>
        <w:rPr>
          <w:rFonts w:hint="eastAsia" w:ascii="仿宋_GB2312" w:hAnsi="仿宋_GB2312" w:eastAsia="仿宋_GB2312" w:cs="仿宋_GB2312"/>
          <w:kern w:val="0"/>
          <w:sz w:val="28"/>
          <w:szCs w:val="28"/>
          <w:lang w:val="en-US" w:eastAsia="zh-CN"/>
        </w:rPr>
        <w:t>投标</w:t>
      </w:r>
      <w:r>
        <w:rPr>
          <w:rFonts w:hint="eastAsia" w:ascii="仿宋_GB2312" w:hAnsi="仿宋_GB2312" w:eastAsia="仿宋_GB2312" w:cs="仿宋_GB2312"/>
          <w:kern w:val="0"/>
          <w:sz w:val="28"/>
          <w:szCs w:val="28"/>
        </w:rPr>
        <w:t>法实施条例 》 《</w:t>
      </w:r>
      <w:r>
        <w:rPr>
          <w:rFonts w:hint="eastAsia" w:ascii="仿宋_GB2312" w:hAnsi="仿宋_GB2312" w:eastAsia="仿宋_GB2312" w:cs="仿宋_GB2312"/>
          <w:sz w:val="28"/>
          <w:szCs w:val="28"/>
        </w:rPr>
        <w:t>&lt;四川省国资委及出资企业中介机构选聘管理试行办法&gt;的通知》</w:t>
      </w:r>
      <w:r>
        <w:rPr>
          <w:rFonts w:hint="eastAsia" w:ascii="仿宋_GB2312" w:hAnsi="仿宋_GB2312" w:eastAsia="仿宋_GB2312" w:cs="仿宋_GB2312"/>
          <w:kern w:val="0"/>
          <w:sz w:val="28"/>
          <w:szCs w:val="28"/>
        </w:rPr>
        <w:t>等有关法律、法规和规章的规定，本项目己具备比选条件，现对本项目实施内容进行比选。</w:t>
      </w:r>
    </w:p>
    <w:p>
      <w:pPr>
        <w:autoSpaceDE w:val="0"/>
        <w:autoSpaceDN w:val="0"/>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1.1.2  本比选项目比选人：见比选申请人须知前附表。 </w:t>
      </w:r>
    </w:p>
    <w:p>
      <w:pPr>
        <w:autoSpaceDE w:val="0"/>
        <w:autoSpaceDN w:val="0"/>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1.1.3  本比选项目名称：见比选申请人须知前附表。 </w:t>
      </w:r>
    </w:p>
    <w:p>
      <w:pPr>
        <w:autoSpaceDE w:val="0"/>
        <w:autoSpaceDN w:val="0"/>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1.1.4  本比选项目服务地点：见比选申请人须知前附表。 </w:t>
      </w:r>
    </w:p>
    <w:p>
      <w:pPr>
        <w:autoSpaceDE w:val="0"/>
        <w:autoSpaceDN w:val="0"/>
        <w:spacing w:line="360" w:lineRule="auto"/>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1.2 比选范围、服务期限、质量要求和安全目标</w:t>
      </w:r>
    </w:p>
    <w:p>
      <w:pPr>
        <w:autoSpaceDE w:val="0"/>
        <w:autoSpaceDN w:val="0"/>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1.2.1  比选范围：见比选申请人须知前附表。 </w:t>
      </w:r>
    </w:p>
    <w:p>
      <w:pPr>
        <w:autoSpaceDE w:val="0"/>
        <w:autoSpaceDN w:val="0"/>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1.2.2  本比选项目的服务期限：见比选申请人须知前附表。 </w:t>
      </w:r>
    </w:p>
    <w:p>
      <w:pPr>
        <w:autoSpaceDE w:val="0"/>
        <w:autoSpaceDN w:val="0"/>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1.2.3  本项目的质量要求：见比选申请人须知前附表。 </w:t>
      </w:r>
    </w:p>
    <w:p>
      <w:pPr>
        <w:autoSpaceDE w:val="0"/>
        <w:autoSpaceDN w:val="0"/>
        <w:spacing w:line="360" w:lineRule="auto"/>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1.3 比选申请人资格要求</w:t>
      </w:r>
    </w:p>
    <w:p>
      <w:pPr>
        <w:autoSpaceDE w:val="0"/>
        <w:autoSpaceDN w:val="0"/>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1.3.1  比选申请人应具备承担本标段服务的资质条件、能力和信誉。</w:t>
      </w:r>
    </w:p>
    <w:p>
      <w:pPr>
        <w:autoSpaceDE w:val="0"/>
        <w:autoSpaceDN w:val="0"/>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 资质要求：见比选申请人须知前附表。 </w:t>
      </w:r>
    </w:p>
    <w:p>
      <w:pPr>
        <w:autoSpaceDE w:val="0"/>
        <w:autoSpaceDN w:val="0"/>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(2) 业绩要求：见比选申请人须知前附表。 </w:t>
      </w:r>
    </w:p>
    <w:p>
      <w:pPr>
        <w:autoSpaceDE w:val="0"/>
        <w:autoSpaceDN w:val="0"/>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(3) 信誉要求：见比选申请人须知前附表。 </w:t>
      </w:r>
    </w:p>
    <w:p>
      <w:pPr>
        <w:autoSpaceDE w:val="0"/>
        <w:autoSpaceDN w:val="0"/>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(4) 主要人员（项目负责人） 资格：见比选申请人须知前附表。 </w:t>
      </w:r>
    </w:p>
    <w:p>
      <w:pPr>
        <w:autoSpaceDE w:val="0"/>
        <w:autoSpaceDN w:val="0"/>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(5) 其他要求：见比选申请人须知前附表。 </w:t>
      </w:r>
    </w:p>
    <w:p>
      <w:pPr>
        <w:keepNext/>
        <w:keepLines/>
        <w:spacing w:before="120" w:beforeLines="50" w:after="120" w:afterLines="5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二、比选文件</w:t>
      </w:r>
      <w:bookmarkEnd w:id="31"/>
      <w:bookmarkEnd w:id="32"/>
    </w:p>
    <w:p>
      <w:pPr>
        <w:autoSpaceDE w:val="0"/>
        <w:autoSpaceDN w:val="0"/>
        <w:spacing w:line="360" w:lineRule="auto"/>
        <w:ind w:firstLine="562" w:firstLineChars="200"/>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5．比选文件的内容</w:t>
      </w:r>
    </w:p>
    <w:p>
      <w:pPr>
        <w:autoSpaceDE w:val="0"/>
        <w:autoSpaceDN w:val="0"/>
        <w:spacing w:line="360" w:lineRule="auto"/>
        <w:ind w:firstLine="562"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5.1</w:t>
      </w:r>
      <w:r>
        <w:rPr>
          <w:rFonts w:hint="eastAsia" w:ascii="仿宋_GB2312" w:hAnsi="仿宋_GB2312" w:eastAsia="仿宋_GB2312" w:cs="仿宋_GB2312"/>
          <w:kern w:val="0"/>
          <w:sz w:val="28"/>
          <w:szCs w:val="28"/>
        </w:rPr>
        <w:t xml:space="preserve"> 比选文件包括下列六个部分：比选公告、比选申请人须知、评审办法、合同条款及格式、比选人要求、比选申请文件格式。</w:t>
      </w:r>
    </w:p>
    <w:p>
      <w:pPr>
        <w:autoSpaceDE w:val="0"/>
        <w:autoSpaceDN w:val="0"/>
        <w:spacing w:line="360" w:lineRule="auto"/>
        <w:ind w:firstLine="562"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5.2</w:t>
      </w:r>
      <w:r>
        <w:rPr>
          <w:rFonts w:hint="eastAsia" w:ascii="仿宋_GB2312" w:hAnsi="仿宋_GB2312" w:eastAsia="仿宋_GB2312" w:cs="仿宋_GB2312"/>
          <w:kern w:val="0"/>
          <w:sz w:val="28"/>
          <w:szCs w:val="28"/>
        </w:rPr>
        <w:t xml:space="preserve"> 除本比选文件约定的内容外，比选人在比选期间发出编号的通知书（如果有）和其他正式有效函件，均是比选文件的合法组成部分。</w:t>
      </w:r>
    </w:p>
    <w:p>
      <w:pPr>
        <w:autoSpaceDE w:val="0"/>
        <w:autoSpaceDN w:val="0"/>
        <w:spacing w:line="360" w:lineRule="auto"/>
        <w:ind w:firstLine="562"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5.3</w:t>
      </w:r>
      <w:r>
        <w:rPr>
          <w:rFonts w:hint="eastAsia" w:ascii="仿宋_GB2312" w:hAnsi="仿宋_GB2312" w:eastAsia="仿宋_GB2312" w:cs="仿宋_GB2312"/>
          <w:kern w:val="0"/>
          <w:sz w:val="28"/>
          <w:szCs w:val="28"/>
        </w:rPr>
        <w:t xml:space="preserve"> 比选申请人须仔细阅读比选文件，按比选文件的规定与要求编写比选申请文件。</w:t>
      </w:r>
    </w:p>
    <w:p>
      <w:pPr>
        <w:autoSpaceDE w:val="0"/>
        <w:autoSpaceDN w:val="0"/>
        <w:spacing w:line="360" w:lineRule="auto"/>
        <w:ind w:firstLine="562"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5.4</w:t>
      </w:r>
      <w:r>
        <w:rPr>
          <w:rFonts w:hint="eastAsia" w:ascii="仿宋_GB2312" w:hAnsi="仿宋_GB2312" w:eastAsia="仿宋_GB2312" w:cs="仿宋_GB2312"/>
          <w:kern w:val="0"/>
          <w:sz w:val="28"/>
          <w:szCs w:val="28"/>
        </w:rPr>
        <w:t xml:space="preserve"> 比选申请人应认真检查比选文件是否完整，若发现缺页或附件不全时，应在递交比选申请文件截止之日3天前向比选人提出，以便补齐。</w:t>
      </w:r>
    </w:p>
    <w:p>
      <w:pPr>
        <w:autoSpaceDE w:val="0"/>
        <w:autoSpaceDN w:val="0"/>
        <w:spacing w:line="360" w:lineRule="auto"/>
        <w:ind w:firstLine="562" w:firstLineChars="200"/>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6．比选文件的澄清、解答和修改</w:t>
      </w:r>
    </w:p>
    <w:p>
      <w:pPr>
        <w:autoSpaceDE w:val="0"/>
        <w:autoSpaceDN w:val="0"/>
        <w:spacing w:line="360" w:lineRule="auto"/>
        <w:ind w:firstLine="562"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6.1</w:t>
      </w:r>
      <w:r>
        <w:rPr>
          <w:rFonts w:hint="eastAsia" w:ascii="仿宋_GB2312" w:hAnsi="仿宋_GB2312" w:eastAsia="仿宋_GB2312" w:cs="仿宋_GB2312"/>
          <w:kern w:val="0"/>
          <w:sz w:val="28"/>
          <w:szCs w:val="28"/>
        </w:rPr>
        <w:t xml:space="preserve"> 比选申请人对比选文件（仅对比选文件）如有疑问，必须在递交比选申请文件截止之日3天前，以书面方式（传真或信函）向比选人提出。</w:t>
      </w:r>
    </w:p>
    <w:p>
      <w:pPr>
        <w:autoSpaceDE w:val="0"/>
        <w:autoSpaceDN w:val="0"/>
        <w:spacing w:line="360" w:lineRule="auto"/>
        <w:ind w:firstLine="562"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6.2</w:t>
      </w:r>
      <w:r>
        <w:rPr>
          <w:rFonts w:hint="eastAsia" w:ascii="仿宋_GB2312" w:hAnsi="仿宋_GB2312" w:eastAsia="仿宋_GB2312" w:cs="仿宋_GB2312"/>
          <w:kern w:val="0"/>
          <w:sz w:val="28"/>
          <w:szCs w:val="28"/>
        </w:rPr>
        <w:t xml:space="preserve"> 在递交比选申请文件截止之日</w:t>
      </w: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天前，比选人可能会因上款的原因或其他任何原因，对比选文件进行澄清或修改。</w:t>
      </w:r>
    </w:p>
    <w:p>
      <w:pPr>
        <w:spacing w:line="360" w:lineRule="auto"/>
        <w:ind w:firstLine="562"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6.3</w:t>
      </w:r>
      <w:r>
        <w:rPr>
          <w:rFonts w:hint="eastAsia" w:ascii="仿宋_GB2312" w:hAnsi="仿宋_GB2312" w:eastAsia="仿宋_GB2312" w:cs="仿宋_GB2312"/>
          <w:kern w:val="0"/>
          <w:sz w:val="28"/>
          <w:szCs w:val="28"/>
        </w:rPr>
        <w:t>比选申请文件递交截止之日</w:t>
      </w: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日前，比选文件通知书（如果有）由比选申请人在</w:t>
      </w:r>
      <w:r>
        <w:rPr>
          <w:rFonts w:hint="eastAsia" w:ascii="仿宋_GB2312" w:hAnsi="仿宋_GB2312" w:eastAsia="仿宋_GB2312" w:cs="仿宋_GB2312"/>
          <w:sz w:val="28"/>
          <w:szCs w:val="28"/>
        </w:rPr>
        <w:t>四川成渝高速公路股份有限公司公路运营管理一分公司网站（</w:t>
      </w:r>
      <w:r>
        <w:rPr>
          <w:rFonts w:ascii="仿宋_GB2312" w:hAnsi="仿宋_GB2312" w:eastAsia="仿宋_GB2312" w:cs="仿宋_GB2312"/>
          <w:sz w:val="28"/>
          <w:szCs w:val="28"/>
        </w:rPr>
        <w:t>https://www.sccygs.com/</w:t>
      </w:r>
      <w:r>
        <w:rPr>
          <w:rFonts w:hint="eastAsia" w:ascii="仿宋_GB2312" w:hAnsi="仿宋_GB2312" w:eastAsia="仿宋_GB2312" w:cs="仿宋_GB2312"/>
          <w:sz w:val="28"/>
          <w:szCs w:val="28"/>
        </w:rPr>
        <w:t>）</w:t>
      </w:r>
      <w:r>
        <w:rPr>
          <w:rFonts w:hint="eastAsia" w:ascii="仿宋_GB2312" w:hAnsi="仿宋_GB2312" w:eastAsia="仿宋_GB2312" w:cs="仿宋_GB2312"/>
          <w:kern w:val="0"/>
          <w:sz w:val="28"/>
          <w:szCs w:val="28"/>
        </w:rPr>
        <w:t>上自行下载。</w:t>
      </w:r>
    </w:p>
    <w:p>
      <w:pPr>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比选申请人应在比选申请期间实时关注比选人指定网站，并及时下载相关内容，比选人不再另行通知。查阅下载过程如有问题或疑问请及时与比选人联系，逾期未联系的，比选人视为比选申请人无任何问题或是已收到或默认已收到，否则，造成的一切后果由比选申请人自负。</w:t>
      </w:r>
    </w:p>
    <w:p>
      <w:pPr>
        <w:autoSpaceDE w:val="0"/>
        <w:autoSpaceDN w:val="0"/>
        <w:spacing w:line="360" w:lineRule="auto"/>
        <w:ind w:firstLine="562"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6.4</w:t>
      </w:r>
      <w:r>
        <w:rPr>
          <w:rFonts w:hint="eastAsia" w:ascii="仿宋_GB2312" w:hAnsi="仿宋_GB2312" w:eastAsia="仿宋_GB2312" w:cs="仿宋_GB2312"/>
          <w:kern w:val="0"/>
          <w:sz w:val="28"/>
          <w:szCs w:val="28"/>
        </w:rPr>
        <w:t xml:space="preserve"> 为使比选申请人在编写比选申请文件时有合理的时间纳入上述通知书的内容，必要时比选人可酌情延长送交比选申请文件截止日期。</w:t>
      </w:r>
    </w:p>
    <w:p>
      <w:pPr>
        <w:keepNext/>
        <w:keepLines/>
        <w:spacing w:before="120" w:beforeLines="50" w:after="120" w:afterLines="50"/>
        <w:rPr>
          <w:rFonts w:hint="eastAsia" w:ascii="仿宋_GB2312" w:hAnsi="仿宋_GB2312" w:eastAsia="仿宋_GB2312" w:cs="仿宋_GB2312"/>
          <w:b/>
          <w:bCs/>
          <w:sz w:val="28"/>
          <w:szCs w:val="28"/>
        </w:rPr>
      </w:pPr>
      <w:bookmarkStart w:id="33" w:name="_Toc257187561"/>
      <w:bookmarkStart w:id="34" w:name="_Toc528624776"/>
      <w:r>
        <w:rPr>
          <w:rFonts w:hint="eastAsia" w:ascii="仿宋_GB2312" w:hAnsi="仿宋_GB2312" w:eastAsia="仿宋_GB2312" w:cs="仿宋_GB2312"/>
          <w:b/>
          <w:bCs/>
          <w:sz w:val="28"/>
          <w:szCs w:val="28"/>
        </w:rPr>
        <w:t>三、比选申请文件的编制</w:t>
      </w:r>
      <w:bookmarkEnd w:id="33"/>
      <w:bookmarkEnd w:id="34"/>
    </w:p>
    <w:p>
      <w:pPr>
        <w:autoSpaceDE w:val="0"/>
        <w:autoSpaceDN w:val="0"/>
        <w:spacing w:line="360" w:lineRule="auto"/>
        <w:ind w:firstLine="562" w:firstLineChars="200"/>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7．比选申请文件的内容</w:t>
      </w:r>
    </w:p>
    <w:p>
      <w:pPr>
        <w:autoSpaceDE w:val="0"/>
        <w:autoSpaceDN w:val="0"/>
        <w:spacing w:line="360" w:lineRule="auto"/>
        <w:ind w:firstLine="562"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7.1</w:t>
      </w:r>
      <w:r>
        <w:rPr>
          <w:rFonts w:hint="eastAsia" w:ascii="仿宋_GB2312" w:hAnsi="仿宋_GB2312" w:eastAsia="仿宋_GB2312" w:cs="仿宋_GB2312"/>
          <w:kern w:val="0"/>
          <w:sz w:val="28"/>
          <w:szCs w:val="28"/>
        </w:rPr>
        <w:t xml:space="preserve"> 比选申请人编写的比选申请文件，应包含本比选文件第三部分的全部内容。</w:t>
      </w:r>
    </w:p>
    <w:p>
      <w:pPr>
        <w:autoSpaceDE w:val="0"/>
        <w:autoSpaceDN w:val="0"/>
        <w:spacing w:line="360" w:lineRule="auto"/>
        <w:ind w:firstLine="562"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7.2</w:t>
      </w:r>
      <w:r>
        <w:rPr>
          <w:rFonts w:hint="eastAsia" w:ascii="仿宋_GB2312" w:hAnsi="仿宋_GB2312" w:eastAsia="仿宋_GB2312" w:cs="仿宋_GB2312"/>
          <w:kern w:val="0"/>
          <w:sz w:val="28"/>
          <w:szCs w:val="28"/>
        </w:rPr>
        <w:t xml:space="preserve"> 比选申请文件编写时应按照本比选文件第三部分中提供的格式或大纲编制，除另有规定外。</w:t>
      </w:r>
    </w:p>
    <w:p>
      <w:pPr>
        <w:autoSpaceDE w:val="0"/>
        <w:autoSpaceDN w:val="0"/>
        <w:spacing w:line="360" w:lineRule="auto"/>
        <w:ind w:firstLine="562" w:firstLineChars="200"/>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8. 最高比选申请限价</w:t>
      </w:r>
    </w:p>
    <w:p>
      <w:pPr>
        <w:autoSpaceDE w:val="0"/>
        <w:autoSpaceDN w:val="0"/>
        <w:spacing w:line="360" w:lineRule="auto"/>
        <w:ind w:firstLine="560" w:firstLineChars="200"/>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见比选申请人须知前附表16项。</w:t>
      </w:r>
    </w:p>
    <w:p>
      <w:pPr>
        <w:autoSpaceDE w:val="0"/>
        <w:autoSpaceDN w:val="0"/>
        <w:spacing w:line="360" w:lineRule="auto"/>
        <w:ind w:firstLine="562" w:firstLineChars="200"/>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注：</w:t>
      </w:r>
      <w:r>
        <w:rPr>
          <w:rFonts w:hint="eastAsia" w:ascii="仿宋_GB2312" w:hAnsi="仿宋_GB2312" w:eastAsia="仿宋_GB2312" w:cs="仿宋_GB2312"/>
          <w:b/>
          <w:bCs/>
          <w:kern w:val="0"/>
          <w:sz w:val="28"/>
          <w:szCs w:val="28"/>
          <w:highlight w:val="none"/>
          <w:lang w:eastAsia="zh-CN"/>
        </w:rPr>
        <w:t>比选申请人</w:t>
      </w:r>
      <w:r>
        <w:rPr>
          <w:rFonts w:hint="eastAsia" w:ascii="仿宋_GB2312" w:hAnsi="仿宋_GB2312" w:eastAsia="仿宋_GB2312" w:cs="仿宋_GB2312"/>
          <w:b/>
          <w:bCs/>
          <w:kern w:val="0"/>
          <w:sz w:val="28"/>
          <w:szCs w:val="28"/>
        </w:rPr>
        <w:t>不得超过最高限价，否则按无效报价废标处理。</w:t>
      </w:r>
    </w:p>
    <w:p>
      <w:pPr>
        <w:autoSpaceDE w:val="0"/>
        <w:autoSpaceDN w:val="0"/>
        <w:spacing w:line="360" w:lineRule="auto"/>
        <w:ind w:firstLine="562" w:firstLineChars="200"/>
        <w:rPr>
          <w:rFonts w:hint="eastAsia" w:ascii="仿宋_GB2312" w:hAnsi="仿宋_GB2312" w:eastAsia="仿宋_GB2312" w:cs="仿宋_GB2312"/>
          <w:spacing w:val="-4"/>
          <w:sz w:val="28"/>
          <w:szCs w:val="28"/>
        </w:rPr>
      </w:pPr>
      <w:r>
        <w:rPr>
          <w:rFonts w:hint="eastAsia" w:ascii="仿宋_GB2312" w:hAnsi="仿宋_GB2312" w:eastAsia="仿宋_GB2312" w:cs="仿宋_GB2312"/>
          <w:b/>
          <w:kern w:val="0"/>
          <w:sz w:val="28"/>
          <w:szCs w:val="28"/>
        </w:rPr>
        <w:t xml:space="preserve">8.2 </w:t>
      </w:r>
      <w:r>
        <w:rPr>
          <w:rFonts w:hint="eastAsia" w:ascii="仿宋_GB2312" w:hAnsi="仿宋_GB2312" w:eastAsia="仿宋_GB2312" w:cs="仿宋_GB2312"/>
          <w:kern w:val="0"/>
          <w:sz w:val="28"/>
          <w:szCs w:val="28"/>
        </w:rPr>
        <w:t>比选申请人应认真填写比选申请报价。比选申请报价应包括</w:t>
      </w:r>
      <w:r>
        <w:rPr>
          <w:rFonts w:hint="eastAsia" w:ascii="仿宋_GB2312" w:hAnsi="仿宋_GB2312" w:eastAsia="仿宋_GB2312" w:cs="仿宋_GB2312"/>
          <w:spacing w:val="-4"/>
          <w:sz w:val="28"/>
          <w:szCs w:val="28"/>
        </w:rPr>
        <w:t>应包括按照招标文件要求完成服务的所有工作所需的全部费用，具体内容包括但不限于：全过程技术咨询服务费、人工费、成果编制费、材料费、设备费、差旅费、</w:t>
      </w:r>
      <w:r>
        <w:rPr>
          <w:rFonts w:hint="eastAsia" w:ascii="仿宋_GB2312" w:hAnsi="仿宋_GB2312" w:eastAsia="仿宋_GB2312" w:cs="仿宋_GB2312"/>
          <w:spacing w:val="-4"/>
          <w:sz w:val="28"/>
          <w:szCs w:val="28"/>
          <w:lang w:val="en-US" w:eastAsia="zh-CN"/>
        </w:rPr>
        <w:t>交通费、高速公路过路费、</w:t>
      </w:r>
      <w:r>
        <w:rPr>
          <w:rFonts w:hint="eastAsia" w:ascii="仿宋_GB2312" w:hAnsi="仿宋_GB2312" w:eastAsia="仿宋_GB2312" w:cs="仿宋_GB2312"/>
          <w:spacing w:val="-4"/>
          <w:sz w:val="28"/>
          <w:szCs w:val="28"/>
        </w:rPr>
        <w:t>管理费、专家评审费、利润、税金、不可预见费等一切费用以及合同表明的所有责任、义务和一般风险。</w:t>
      </w:r>
    </w:p>
    <w:p>
      <w:pPr>
        <w:autoSpaceDE w:val="0"/>
        <w:autoSpaceDN w:val="0"/>
        <w:spacing w:line="360" w:lineRule="auto"/>
        <w:ind w:firstLine="562" w:firstLineChars="200"/>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9．比选申请文件有效期</w:t>
      </w:r>
    </w:p>
    <w:p>
      <w:pPr>
        <w:autoSpaceDE w:val="0"/>
        <w:autoSpaceDN w:val="0"/>
        <w:spacing w:line="360" w:lineRule="auto"/>
        <w:ind w:firstLine="562"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9.1</w:t>
      </w:r>
      <w:r>
        <w:rPr>
          <w:rFonts w:hint="eastAsia" w:ascii="仿宋_GB2312" w:hAnsi="仿宋_GB2312" w:eastAsia="仿宋_GB2312" w:cs="仿宋_GB2312"/>
          <w:kern w:val="0"/>
          <w:sz w:val="28"/>
          <w:szCs w:val="28"/>
        </w:rPr>
        <w:t xml:space="preserve"> 比选申请文件有效期为比选申请人提交比选申请文件截止之日起120日内，在此期限内，除因文件本身原因被视作无效外，所有比选申请文件均保持有效。</w:t>
      </w:r>
    </w:p>
    <w:p>
      <w:pPr>
        <w:autoSpaceDE w:val="0"/>
        <w:autoSpaceDN w:val="0"/>
        <w:spacing w:line="360" w:lineRule="auto"/>
        <w:ind w:firstLine="562"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9.2</w:t>
      </w:r>
      <w:r>
        <w:rPr>
          <w:rFonts w:hint="eastAsia" w:ascii="仿宋_GB2312" w:hAnsi="仿宋_GB2312" w:eastAsia="仿宋_GB2312" w:cs="仿宋_GB2312"/>
          <w:kern w:val="0"/>
          <w:sz w:val="28"/>
          <w:szCs w:val="28"/>
        </w:rPr>
        <w:t xml:space="preserve"> 在特殊情况下，比选人可以根据需要向比选申请人提出延长比选申请文件有效期的要求，比选申请人应立即以传真或信函等书面形式对此作出答复。</w:t>
      </w:r>
    </w:p>
    <w:p>
      <w:pPr>
        <w:autoSpaceDE w:val="0"/>
        <w:autoSpaceDN w:val="0"/>
        <w:spacing w:line="360" w:lineRule="auto"/>
        <w:ind w:firstLine="562" w:firstLineChars="200"/>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10．比选申请文件正副本及签署</w:t>
      </w:r>
    </w:p>
    <w:p>
      <w:pPr>
        <w:autoSpaceDE w:val="0"/>
        <w:autoSpaceDN w:val="0"/>
        <w:spacing w:line="360" w:lineRule="auto"/>
        <w:ind w:firstLine="562"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10.1</w:t>
      </w:r>
      <w:r>
        <w:rPr>
          <w:rFonts w:hint="eastAsia" w:ascii="仿宋_GB2312" w:hAnsi="仿宋_GB2312" w:eastAsia="仿宋_GB2312" w:cs="仿宋_GB2312"/>
          <w:kern w:val="0"/>
          <w:sz w:val="28"/>
          <w:szCs w:val="28"/>
        </w:rPr>
        <w:t xml:space="preserve"> 比选申请人递交比选申请文件的份数为：正本一份，副本一份。请在文件封面予以标注“正本”或“副本”。</w:t>
      </w:r>
    </w:p>
    <w:p>
      <w:pPr>
        <w:autoSpaceDE w:val="0"/>
        <w:autoSpaceDN w:val="0"/>
        <w:spacing w:line="360" w:lineRule="auto"/>
        <w:ind w:firstLine="562"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10.2</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sz w:val="28"/>
          <w:szCs w:val="28"/>
        </w:rPr>
        <w:t>比选申请文件上所有要求盖章的地方都须加盖比选申请人单位章</w:t>
      </w:r>
      <w:r>
        <w:rPr>
          <w:rFonts w:hint="eastAsia" w:ascii="仿宋_GB2312" w:hAnsi="仿宋_GB2312" w:eastAsia="仿宋_GB2312" w:cs="仿宋_GB2312"/>
          <w:kern w:val="0"/>
          <w:sz w:val="28"/>
          <w:szCs w:val="28"/>
        </w:rPr>
        <w:t>,并由法定代表人或其授权代理人签署。由授权代理人签署的，须按要求提供法人代表授权书，否则比选申请文件视为无效。</w:t>
      </w:r>
    </w:p>
    <w:p>
      <w:pPr>
        <w:autoSpaceDE w:val="0"/>
        <w:autoSpaceDN w:val="0"/>
        <w:spacing w:line="360" w:lineRule="auto"/>
        <w:ind w:firstLine="562"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10.3</w:t>
      </w:r>
      <w:r>
        <w:rPr>
          <w:rFonts w:hint="eastAsia" w:ascii="仿宋_GB2312" w:hAnsi="仿宋_GB2312" w:eastAsia="仿宋_GB2312" w:cs="仿宋_GB2312"/>
          <w:kern w:val="0"/>
          <w:sz w:val="28"/>
          <w:szCs w:val="28"/>
        </w:rPr>
        <w:t xml:space="preserve"> 比选申请文件的任何一页都不得涂改、行间插字或删除。如果出现上述情况，均应由上述签字人在改动处小签或加盖比选申请人单位章。</w:t>
      </w:r>
    </w:p>
    <w:p>
      <w:pPr>
        <w:autoSpaceDE w:val="0"/>
        <w:autoSpaceDN w:val="0"/>
        <w:spacing w:line="360" w:lineRule="auto"/>
        <w:ind w:firstLine="562"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10.4</w:t>
      </w:r>
      <w:r>
        <w:rPr>
          <w:rFonts w:hint="eastAsia" w:ascii="仿宋_GB2312" w:hAnsi="仿宋_GB2312" w:eastAsia="仿宋_GB2312" w:cs="仿宋_GB2312"/>
          <w:kern w:val="0"/>
          <w:sz w:val="28"/>
          <w:szCs w:val="28"/>
        </w:rPr>
        <w:t xml:space="preserve"> 当正本与副本的文本内容出现不一致时，将以正本为准。</w:t>
      </w:r>
    </w:p>
    <w:p>
      <w:pPr>
        <w:autoSpaceDE w:val="0"/>
        <w:autoSpaceDN w:val="0"/>
        <w:spacing w:line="360" w:lineRule="auto"/>
        <w:ind w:firstLine="562"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11．</w:t>
      </w:r>
      <w:r>
        <w:rPr>
          <w:rFonts w:hint="eastAsia" w:ascii="仿宋_GB2312" w:hAnsi="仿宋_GB2312" w:eastAsia="仿宋_GB2312" w:cs="仿宋_GB2312"/>
          <w:kern w:val="0"/>
          <w:sz w:val="28"/>
          <w:szCs w:val="28"/>
        </w:rPr>
        <w:t>每个比选申请人只能提交一份比选申请文件，且比选申请人必须对本项目的全部内容比选申请，只对项目的某一或某些内容响应者，其比选申请文件将不予接受。</w:t>
      </w:r>
    </w:p>
    <w:p>
      <w:pPr>
        <w:autoSpaceDE w:val="0"/>
        <w:autoSpaceDN w:val="0"/>
        <w:spacing w:line="360" w:lineRule="auto"/>
        <w:ind w:firstLine="562"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12．</w:t>
      </w:r>
      <w:r>
        <w:rPr>
          <w:rFonts w:hint="eastAsia" w:ascii="仿宋_GB2312" w:hAnsi="仿宋_GB2312" w:eastAsia="仿宋_GB2312" w:cs="仿宋_GB2312"/>
          <w:kern w:val="0"/>
          <w:sz w:val="28"/>
          <w:szCs w:val="28"/>
        </w:rPr>
        <w:t>中选人不得向他人转让中选项目，也不得将中选项目的关键性或核心工作委托他人完成。</w:t>
      </w:r>
    </w:p>
    <w:p>
      <w:pPr>
        <w:keepNext/>
        <w:keepLines/>
        <w:spacing w:before="120" w:beforeLines="50" w:after="120" w:afterLines="50"/>
        <w:rPr>
          <w:rFonts w:hint="eastAsia" w:ascii="仿宋_GB2312" w:hAnsi="仿宋_GB2312" w:eastAsia="仿宋_GB2312" w:cs="仿宋_GB2312"/>
          <w:b/>
          <w:bCs/>
          <w:sz w:val="28"/>
          <w:szCs w:val="28"/>
        </w:rPr>
      </w:pPr>
      <w:bookmarkStart w:id="35" w:name="_Toc257187562"/>
      <w:bookmarkStart w:id="36" w:name="_Toc528624777"/>
      <w:r>
        <w:rPr>
          <w:rFonts w:hint="eastAsia" w:ascii="仿宋_GB2312" w:hAnsi="仿宋_GB2312" w:eastAsia="仿宋_GB2312" w:cs="仿宋_GB2312"/>
          <w:b/>
          <w:bCs/>
          <w:sz w:val="28"/>
          <w:szCs w:val="28"/>
        </w:rPr>
        <w:t>四、比选申请文件的送交</w:t>
      </w:r>
      <w:bookmarkEnd w:id="35"/>
      <w:bookmarkEnd w:id="36"/>
    </w:p>
    <w:p>
      <w:pPr>
        <w:autoSpaceDE w:val="0"/>
        <w:autoSpaceDN w:val="0"/>
        <w:adjustRightInd w:val="0"/>
        <w:spacing w:line="360" w:lineRule="auto"/>
        <w:ind w:firstLine="562" w:firstLineChars="200"/>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13．比选申请文件的密封（包装）和标记</w:t>
      </w:r>
    </w:p>
    <w:p>
      <w:pPr>
        <w:autoSpaceDE w:val="0"/>
        <w:autoSpaceDN w:val="0"/>
        <w:adjustRightInd w:val="0"/>
        <w:spacing w:line="360" w:lineRule="auto"/>
        <w:ind w:firstLine="562"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sz w:val="28"/>
          <w:szCs w:val="28"/>
        </w:rPr>
        <w:t>13.1</w:t>
      </w:r>
      <w:r>
        <w:rPr>
          <w:rFonts w:hint="eastAsia" w:ascii="仿宋_GB2312" w:hAnsi="仿宋_GB2312" w:eastAsia="仿宋_GB2312" w:cs="仿宋_GB2312"/>
          <w:sz w:val="28"/>
          <w:szCs w:val="28"/>
        </w:rPr>
        <w:t xml:space="preserve"> 比选申请文件独立密封装入封套中。</w:t>
      </w:r>
      <w:r>
        <w:rPr>
          <w:rFonts w:hint="eastAsia" w:ascii="仿宋_GB2312" w:hAnsi="仿宋_GB2312" w:eastAsia="仿宋_GB2312" w:cs="仿宋_GB2312"/>
          <w:sz w:val="28"/>
          <w:szCs w:val="28"/>
          <w:lang w:val="en-US" w:eastAsia="zh-CN"/>
        </w:rPr>
        <w:t>封套和密封要求见比选申请人须知前附表23项，</w:t>
      </w:r>
    </w:p>
    <w:p>
      <w:pPr>
        <w:autoSpaceDE w:val="0"/>
        <w:autoSpaceDN w:val="0"/>
        <w:spacing w:line="360" w:lineRule="auto"/>
        <w:ind w:firstLine="562"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b/>
          <w:sz w:val="28"/>
          <w:szCs w:val="28"/>
        </w:rPr>
        <w:t>13.2</w:t>
      </w:r>
      <w:r>
        <w:rPr>
          <w:rFonts w:hint="eastAsia" w:ascii="仿宋_GB2312" w:hAnsi="仿宋_GB2312" w:eastAsia="仿宋_GB2312" w:cs="仿宋_GB2312"/>
          <w:sz w:val="28"/>
          <w:szCs w:val="28"/>
        </w:rPr>
        <w:t xml:space="preserve"> 因比选申请人或任何其它第三方原因致使比选申请文件未按比选文件要求时间送到指定地点或遗失，或因密封不严、标记不明而造成过早启封、失密等情况，比选人概不负责。</w:t>
      </w:r>
    </w:p>
    <w:p>
      <w:pPr>
        <w:autoSpaceDE w:val="0"/>
        <w:autoSpaceDN w:val="0"/>
        <w:spacing w:line="360" w:lineRule="auto"/>
        <w:ind w:firstLine="562" w:firstLineChars="200"/>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14．送交比选申请文件截止时间</w:t>
      </w:r>
    </w:p>
    <w:p>
      <w:pPr>
        <w:autoSpaceDE w:val="0"/>
        <w:autoSpaceDN w:val="0"/>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14.1</w:t>
      </w:r>
      <w:r>
        <w:rPr>
          <w:rFonts w:hint="eastAsia" w:ascii="仿宋_GB2312" w:hAnsi="仿宋_GB2312" w:eastAsia="仿宋_GB2312" w:cs="仿宋_GB2312"/>
          <w:sz w:val="28"/>
          <w:szCs w:val="28"/>
        </w:rPr>
        <w:t xml:space="preserve"> 比选申请人须按比选公告规定的时间和地点，将比选申请文件面送比选人签收，否则不予接收。</w:t>
      </w:r>
    </w:p>
    <w:p>
      <w:pPr>
        <w:autoSpaceDE w:val="0"/>
        <w:autoSpaceDN w:val="0"/>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14.2</w:t>
      </w:r>
      <w:r>
        <w:rPr>
          <w:rFonts w:hint="eastAsia" w:ascii="仿宋_GB2312" w:hAnsi="仿宋_GB2312" w:eastAsia="仿宋_GB2312" w:cs="仿宋_GB2312"/>
          <w:sz w:val="28"/>
          <w:szCs w:val="28"/>
        </w:rPr>
        <w:t xml:space="preserve"> 在特殊情况下，比选人可以决定推迟送交比选申请文件的截止时间。</w:t>
      </w:r>
    </w:p>
    <w:p>
      <w:pPr>
        <w:autoSpaceDE w:val="0"/>
        <w:autoSpaceDN w:val="0"/>
        <w:spacing w:line="360" w:lineRule="auto"/>
        <w:ind w:firstLine="562" w:firstLineChars="200"/>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15．比选申请文件的更改与撤回</w:t>
      </w:r>
    </w:p>
    <w:p>
      <w:pPr>
        <w:autoSpaceDE w:val="0"/>
        <w:autoSpaceDN w:val="0"/>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15.1</w:t>
      </w:r>
      <w:r>
        <w:rPr>
          <w:rFonts w:hint="eastAsia" w:ascii="仿宋_GB2312" w:hAnsi="仿宋_GB2312" w:eastAsia="仿宋_GB2312" w:cs="仿宋_GB2312"/>
          <w:sz w:val="28"/>
          <w:szCs w:val="28"/>
        </w:rPr>
        <w:t xml:space="preserve"> 在送交比选申请文件截止时间以前，比选申请人可以书面方式要求更改或撤回比选申请文件，但该书面材料必须经比选申请文件签字人签署，并在送交比选申请文件截止时间以前送达或传真通知比选人。</w:t>
      </w:r>
    </w:p>
    <w:p>
      <w:pPr>
        <w:autoSpaceDE w:val="0"/>
        <w:autoSpaceDN w:val="0"/>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15.2</w:t>
      </w:r>
      <w:r>
        <w:rPr>
          <w:rFonts w:hint="eastAsia" w:ascii="仿宋_GB2312" w:hAnsi="仿宋_GB2312" w:eastAsia="仿宋_GB2312" w:cs="仿宋_GB2312"/>
          <w:sz w:val="28"/>
          <w:szCs w:val="28"/>
        </w:rPr>
        <w:t xml:space="preserve"> 送交比选申请文件截止时间以后，比选申请文件不得更改、撤回。</w:t>
      </w:r>
    </w:p>
    <w:p>
      <w:pPr>
        <w:keepNext/>
        <w:keepLines/>
        <w:spacing w:before="120" w:beforeLines="50" w:after="120" w:afterLines="50"/>
        <w:rPr>
          <w:rFonts w:hint="eastAsia" w:ascii="仿宋_GB2312" w:hAnsi="仿宋_GB2312" w:eastAsia="仿宋_GB2312" w:cs="仿宋_GB2312"/>
          <w:b/>
          <w:bCs/>
          <w:sz w:val="28"/>
          <w:szCs w:val="28"/>
        </w:rPr>
      </w:pPr>
      <w:bookmarkStart w:id="37" w:name="_Toc528624778"/>
      <w:bookmarkStart w:id="38" w:name="_Toc257187563"/>
      <w:r>
        <w:rPr>
          <w:rFonts w:hint="eastAsia" w:ascii="仿宋_GB2312" w:hAnsi="仿宋_GB2312" w:eastAsia="仿宋_GB2312" w:cs="仿宋_GB2312"/>
          <w:b/>
          <w:bCs/>
          <w:sz w:val="28"/>
          <w:szCs w:val="28"/>
        </w:rPr>
        <w:t>五、开封、评审与定标</w:t>
      </w:r>
      <w:bookmarkEnd w:id="37"/>
      <w:bookmarkEnd w:id="38"/>
    </w:p>
    <w:p>
      <w:pPr>
        <w:autoSpaceDE w:val="0"/>
        <w:autoSpaceDN w:val="0"/>
        <w:spacing w:line="360" w:lineRule="auto"/>
        <w:ind w:firstLine="562" w:firstLineChars="200"/>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16．开封</w:t>
      </w:r>
    </w:p>
    <w:p>
      <w:pPr>
        <w:autoSpaceDE w:val="0"/>
        <w:autoSpaceDN w:val="0"/>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16.1</w:t>
      </w:r>
      <w:r>
        <w:rPr>
          <w:rFonts w:hint="eastAsia" w:ascii="仿宋_GB2312" w:hAnsi="仿宋_GB2312" w:eastAsia="仿宋_GB2312" w:cs="仿宋_GB2312"/>
          <w:sz w:val="28"/>
          <w:szCs w:val="28"/>
        </w:rPr>
        <w:t xml:space="preserve"> 比选人将按比选公告规定的时间（或通知书延长开标后的具体时间）和地址，公开启封比选申请文件。</w:t>
      </w:r>
    </w:p>
    <w:p>
      <w:pPr>
        <w:autoSpaceDE w:val="0"/>
        <w:autoSpaceDN w:val="0"/>
        <w:spacing w:line="360" w:lineRule="auto"/>
        <w:ind w:firstLine="562" w:firstLineChars="200"/>
        <w:rPr>
          <w:rFonts w:hint="eastAsia" w:ascii="仿宋_GB2312" w:hAnsi="仿宋_GB2312" w:eastAsia="仿宋_GB2312" w:cs="仿宋_GB2312"/>
          <w:b/>
          <w:kern w:val="0"/>
          <w:sz w:val="28"/>
          <w:szCs w:val="28"/>
        </w:rPr>
      </w:pPr>
      <w:r>
        <w:rPr>
          <w:rFonts w:hint="eastAsia" w:ascii="仿宋_GB2312" w:hAnsi="仿宋_GB2312" w:eastAsia="仿宋_GB2312" w:cs="仿宋_GB2312"/>
          <w:b/>
          <w:bCs/>
          <w:sz w:val="28"/>
          <w:szCs w:val="28"/>
        </w:rPr>
        <w:t>16.2</w:t>
      </w:r>
      <w:r>
        <w:rPr>
          <w:rFonts w:hint="eastAsia" w:ascii="仿宋_GB2312" w:hAnsi="仿宋_GB2312" w:eastAsia="仿宋_GB2312" w:cs="仿宋_GB2312"/>
          <w:sz w:val="28"/>
          <w:szCs w:val="28"/>
        </w:rPr>
        <w:t xml:space="preserve"> 启封会由比选人主持，邀请有关方面代表参加。</w:t>
      </w:r>
      <w:r>
        <w:rPr>
          <w:rFonts w:hint="eastAsia" w:ascii="仿宋_GB2312" w:hAnsi="仿宋_GB2312" w:eastAsia="仿宋_GB2312" w:cs="仿宋_GB2312"/>
          <w:kern w:val="0"/>
          <w:sz w:val="28"/>
          <w:szCs w:val="28"/>
        </w:rPr>
        <w:t>所有比选申请人应派代表出席启封会。</w:t>
      </w:r>
    </w:p>
    <w:p>
      <w:pPr>
        <w:autoSpaceDE w:val="0"/>
        <w:autoSpaceDN w:val="0"/>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16.3</w:t>
      </w:r>
      <w:r>
        <w:rPr>
          <w:rFonts w:hint="eastAsia" w:ascii="仿宋_GB2312" w:hAnsi="仿宋_GB2312" w:eastAsia="仿宋_GB2312" w:cs="仿宋_GB2312"/>
          <w:sz w:val="28"/>
          <w:szCs w:val="28"/>
        </w:rPr>
        <w:t xml:space="preserve"> 启封时，比选申请人或其代表检查比选申请文件的密封情况，确认无误后，由工作人员当众启封并宣读比选申请人名称、密封情况等。启封过程应记录在案，比选人和参加启封会的各比选申请人代表在启封记录上签字。</w:t>
      </w:r>
    </w:p>
    <w:p>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16.4</w:t>
      </w:r>
      <w:r>
        <w:rPr>
          <w:rFonts w:hint="eastAsia" w:ascii="仿宋_GB2312" w:hAnsi="仿宋_GB2312" w:eastAsia="仿宋_GB2312" w:cs="仿宋_GB2312"/>
          <w:sz w:val="28"/>
          <w:szCs w:val="28"/>
        </w:rPr>
        <w:t xml:space="preserve"> 当本项目比选申请人少于3个（不含3个）时将不予启封，原封退还。</w:t>
      </w:r>
    </w:p>
    <w:p>
      <w:pPr>
        <w:spacing w:line="360" w:lineRule="auto"/>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16.5</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bCs/>
          <w:sz w:val="28"/>
          <w:szCs w:val="28"/>
        </w:rPr>
        <w:t>比选申请文件出现下列情况比选人将不予接收：</w:t>
      </w:r>
    </w:p>
    <w:p>
      <w:pPr>
        <w:autoSpaceDE w:val="0"/>
        <w:autoSpaceDN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（1）逾期送达或未送达指定地点的；</w:t>
      </w:r>
    </w:p>
    <w:p>
      <w:pPr>
        <w:autoSpaceDE w:val="0"/>
        <w:autoSpaceDN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（2）未按比选文件要求密封的；</w:t>
      </w:r>
    </w:p>
    <w:p>
      <w:pPr>
        <w:autoSpaceDE w:val="0"/>
        <w:autoSpaceDN w:val="0"/>
        <w:spacing w:line="360" w:lineRule="auto"/>
        <w:ind w:firstLine="562" w:firstLineChars="200"/>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17．评审</w:t>
      </w:r>
    </w:p>
    <w:p>
      <w:pPr>
        <w:autoSpaceDE w:val="0"/>
        <w:autoSpaceDN w:val="0"/>
        <w:spacing w:line="360" w:lineRule="auto"/>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比选人将依照中华人民共和国的有关法律规定组建评审委员会。评审委员会成员由比选人随机选择的有关技术、经济方面的专家</w:t>
      </w:r>
      <w:r>
        <w:rPr>
          <w:rFonts w:hint="eastAsia" w:ascii="仿宋_GB2312" w:hAnsi="仿宋_GB2312" w:eastAsia="仿宋_GB2312" w:cs="仿宋_GB2312"/>
          <w:sz w:val="28"/>
          <w:szCs w:val="28"/>
          <w:u w:val="single"/>
          <w:lang w:val="en-US" w:eastAsia="zh-CN"/>
        </w:rPr>
        <w:t>5</w:t>
      </w:r>
      <w:r>
        <w:rPr>
          <w:rFonts w:hint="eastAsia" w:ascii="仿宋_GB2312" w:hAnsi="仿宋_GB2312" w:eastAsia="仿宋_GB2312" w:cs="仿宋_GB2312"/>
          <w:sz w:val="28"/>
          <w:szCs w:val="28"/>
        </w:rPr>
        <w:t>人组成。</w:t>
      </w:r>
    </w:p>
    <w:p>
      <w:pPr>
        <w:autoSpaceDE w:val="0"/>
        <w:autoSpaceDN w:val="0"/>
        <w:spacing w:line="360" w:lineRule="auto"/>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评审原则</w:t>
      </w:r>
    </w:p>
    <w:p>
      <w:pPr>
        <w:autoSpaceDE w:val="0"/>
        <w:autoSpaceDN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评审参照中华人民共和国招比选相关法律法规中规定的有关评审要求以及比选文件的要求和条件进行。</w:t>
      </w:r>
    </w:p>
    <w:p>
      <w:pPr>
        <w:autoSpaceDE w:val="0"/>
        <w:autoSpaceDN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评审委员会将遵循公平、公正的原则对所有比选申请人的比选申请进行评审，并都采用相同的程序和标准。</w:t>
      </w:r>
    </w:p>
    <w:p>
      <w:pPr>
        <w:autoSpaceDE w:val="0"/>
        <w:autoSpaceDN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评审办法：评审采用综合评分法，资格后审。</w:t>
      </w:r>
    </w:p>
    <w:p>
      <w:pPr>
        <w:autoSpaceDE w:val="0"/>
        <w:autoSpaceDN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评审委员会按照第三篇规定的方法、评审因素、标准和程序对比选申请文件进行评审。第三篇没有规定的方法、评审因素和标准，不作为评审依据。</w:t>
      </w:r>
    </w:p>
    <w:p>
      <w:pPr>
        <w:autoSpaceDE w:val="0"/>
        <w:autoSpaceDN w:val="0"/>
        <w:spacing w:line="360" w:lineRule="auto"/>
        <w:ind w:firstLine="562" w:firstLineChars="200"/>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18．定标</w:t>
      </w:r>
    </w:p>
    <w:p>
      <w:pPr>
        <w:autoSpaceDE w:val="0"/>
        <w:autoSpaceDN w:val="0"/>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18.1</w:t>
      </w:r>
      <w:r>
        <w:rPr>
          <w:rFonts w:hint="eastAsia" w:ascii="仿宋_GB2312" w:hAnsi="仿宋_GB2312" w:eastAsia="仿宋_GB2312" w:cs="仿宋_GB2312"/>
          <w:sz w:val="28"/>
          <w:szCs w:val="28"/>
        </w:rPr>
        <w:t>依据评审委员会进行综合评定后的评审报告和推荐的中选候选人，比选人</w:t>
      </w:r>
      <w:r>
        <w:rPr>
          <w:rFonts w:hint="eastAsia" w:ascii="仿宋_GB2312" w:hAnsi="仿宋_GB2312" w:eastAsia="仿宋_GB2312" w:cs="仿宋_GB2312"/>
          <w:kern w:val="0"/>
          <w:sz w:val="28"/>
          <w:szCs w:val="28"/>
        </w:rPr>
        <w:t>在收到评审报告之日起3日内，将比选结果即评审委员会推荐的中选候选人名单</w:t>
      </w:r>
      <w:r>
        <w:rPr>
          <w:rFonts w:hint="eastAsia" w:ascii="仿宋_GB2312" w:hAnsi="仿宋_GB2312" w:eastAsia="仿宋_GB2312" w:cs="仿宋_GB2312"/>
          <w:bCs/>
          <w:sz w:val="28"/>
          <w:szCs w:val="28"/>
        </w:rPr>
        <w:t>在</w:t>
      </w:r>
      <w:r>
        <w:rPr>
          <w:rFonts w:hint="eastAsia" w:ascii="仿宋_GB2312" w:hAnsi="仿宋_GB2312" w:eastAsia="仿宋_GB2312" w:cs="仿宋_GB2312"/>
          <w:sz w:val="28"/>
          <w:szCs w:val="28"/>
        </w:rPr>
        <w:t>四川成渝高速公路股份有限公司四川成渝高速公路股份有限公司公路运营管理一分公司网站</w:t>
      </w:r>
      <w:r>
        <w:fldChar w:fldCharType="begin"/>
      </w:r>
      <w:r>
        <w:instrText xml:space="preserve"> HYPERLINK "http://www.cygs.com）上公示3" </w:instrText>
      </w:r>
      <w:r>
        <w:fldChar w:fldCharType="separate"/>
      </w:r>
      <w:r>
        <w:rPr>
          <w:rFonts w:hint="eastAsia" w:ascii="仿宋_GB2312" w:hAnsi="仿宋_GB2312" w:eastAsia="仿宋_GB2312" w:cs="仿宋_GB2312"/>
          <w:sz w:val="28"/>
          <w:szCs w:val="28"/>
        </w:rPr>
        <w:t>上</w:t>
      </w:r>
      <w:r>
        <w:rPr>
          <w:rFonts w:hint="eastAsia" w:ascii="仿宋_GB2312" w:hAnsi="仿宋_GB2312" w:eastAsia="仿宋_GB2312" w:cs="仿宋_GB2312"/>
          <w:kern w:val="0"/>
          <w:sz w:val="28"/>
          <w:szCs w:val="28"/>
        </w:rPr>
        <w:t>公示3</w:t>
      </w:r>
      <w:r>
        <w:rPr>
          <w:rFonts w:hint="eastAsia" w:ascii="仿宋_GB2312" w:hAnsi="仿宋_GB2312" w:eastAsia="仿宋_GB2312" w:cs="仿宋_GB2312"/>
          <w:kern w:val="0"/>
          <w:sz w:val="28"/>
          <w:szCs w:val="28"/>
        </w:rPr>
        <w:fldChar w:fldCharType="end"/>
      </w:r>
      <w:r>
        <w:rPr>
          <w:rFonts w:hint="eastAsia" w:ascii="仿宋_GB2312" w:hAnsi="仿宋_GB2312" w:eastAsia="仿宋_GB2312" w:cs="仿宋_GB2312"/>
          <w:sz w:val="28"/>
          <w:szCs w:val="28"/>
        </w:rPr>
        <w:t>个工作</w:t>
      </w:r>
      <w:r>
        <w:rPr>
          <w:rFonts w:hint="eastAsia" w:ascii="仿宋_GB2312" w:hAnsi="仿宋_GB2312" w:eastAsia="仿宋_GB2312" w:cs="仿宋_GB2312"/>
          <w:kern w:val="0"/>
          <w:sz w:val="28"/>
          <w:szCs w:val="28"/>
        </w:rPr>
        <w:t>日以接受社会公开监督后</w:t>
      </w:r>
      <w:r>
        <w:rPr>
          <w:rFonts w:hint="eastAsia" w:ascii="仿宋_GB2312" w:hAnsi="仿宋_GB2312" w:eastAsia="仿宋_GB2312" w:cs="仿宋_GB2312"/>
          <w:sz w:val="28"/>
          <w:szCs w:val="28"/>
        </w:rPr>
        <w:t>确定中选人。</w:t>
      </w:r>
    </w:p>
    <w:p>
      <w:pPr>
        <w:autoSpaceDE w:val="0"/>
        <w:autoSpaceDN w:val="0"/>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18.2 </w:t>
      </w:r>
      <w:r>
        <w:rPr>
          <w:rFonts w:hint="eastAsia" w:ascii="仿宋_GB2312" w:hAnsi="仿宋_GB2312" w:eastAsia="仿宋_GB2312" w:cs="仿宋_GB2312"/>
          <w:sz w:val="28"/>
          <w:szCs w:val="28"/>
        </w:rPr>
        <w:t>所有比选申请文件被评审委员会否决或被比选人拒绝后，比选人可依照本办法重新比选或采用其他方式确定中选人。</w:t>
      </w:r>
    </w:p>
    <w:p>
      <w:pPr>
        <w:autoSpaceDE w:val="0"/>
        <w:autoSpaceDN w:val="0"/>
        <w:spacing w:line="360" w:lineRule="auto"/>
        <w:ind w:firstLine="562" w:firstLineChars="200"/>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19．中选通知书</w:t>
      </w:r>
    </w:p>
    <w:p>
      <w:pPr>
        <w:autoSpaceDE w:val="0"/>
        <w:autoSpaceDN w:val="0"/>
        <w:spacing w:line="360" w:lineRule="auto"/>
        <w:ind w:firstLine="562" w:firstLineChars="200"/>
        <w:rPr>
          <w:rFonts w:hint="eastAsia" w:ascii="仿宋_GB2312" w:hAnsi="仿宋_GB2312" w:eastAsia="仿宋_GB2312" w:cs="仿宋_GB2312"/>
          <w:b/>
          <w:kern w:val="0"/>
          <w:sz w:val="28"/>
          <w:szCs w:val="28"/>
        </w:rPr>
      </w:pPr>
      <w:r>
        <w:rPr>
          <w:rFonts w:hint="eastAsia" w:ascii="仿宋_GB2312" w:hAnsi="仿宋_GB2312" w:eastAsia="仿宋_GB2312" w:cs="仿宋_GB2312"/>
          <w:b/>
          <w:sz w:val="28"/>
          <w:szCs w:val="28"/>
        </w:rPr>
        <w:t>19.1</w:t>
      </w:r>
      <w:r>
        <w:rPr>
          <w:rFonts w:hint="eastAsia" w:ascii="仿宋_GB2312" w:hAnsi="仿宋_GB2312" w:eastAsia="仿宋_GB2312" w:cs="仿宋_GB2312"/>
          <w:sz w:val="28"/>
          <w:szCs w:val="28"/>
        </w:rPr>
        <w:t xml:space="preserve"> 定标后，比选人向中选单位发出中选通知书，确认其比选申请已被接受。比选申请人在收到中选通知书后，应立即以书面或传真方式告知比选人。</w:t>
      </w:r>
    </w:p>
    <w:p>
      <w:pPr>
        <w:autoSpaceDE w:val="0"/>
        <w:autoSpaceDN w:val="0"/>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19.2 </w:t>
      </w:r>
      <w:r>
        <w:rPr>
          <w:rFonts w:hint="eastAsia" w:ascii="仿宋_GB2312" w:hAnsi="仿宋_GB2312" w:eastAsia="仿宋_GB2312" w:cs="仿宋_GB2312"/>
          <w:sz w:val="28"/>
          <w:szCs w:val="28"/>
        </w:rPr>
        <w:t>中选通知书是合同文件的组成部分，对比选人、比选申请人都有约束力。</w:t>
      </w:r>
    </w:p>
    <w:p>
      <w:pPr>
        <w:keepNext/>
        <w:keepLines/>
        <w:spacing w:before="120" w:beforeLines="50" w:after="120" w:afterLines="50"/>
        <w:rPr>
          <w:rFonts w:hint="eastAsia" w:ascii="仿宋_GB2312" w:hAnsi="仿宋_GB2312" w:eastAsia="仿宋_GB2312" w:cs="仿宋_GB2312"/>
          <w:b/>
          <w:bCs/>
          <w:sz w:val="28"/>
          <w:szCs w:val="28"/>
        </w:rPr>
      </w:pPr>
      <w:bookmarkStart w:id="39" w:name="_Toc528624779"/>
      <w:bookmarkStart w:id="40" w:name="_Toc257187564"/>
      <w:r>
        <w:rPr>
          <w:rFonts w:hint="eastAsia" w:ascii="仿宋_GB2312" w:hAnsi="仿宋_GB2312" w:eastAsia="仿宋_GB2312" w:cs="仿宋_GB2312"/>
          <w:b/>
          <w:bCs/>
          <w:sz w:val="28"/>
          <w:szCs w:val="28"/>
        </w:rPr>
        <w:t>六、合同的授予和签署</w:t>
      </w:r>
      <w:bookmarkEnd w:id="39"/>
      <w:bookmarkEnd w:id="40"/>
    </w:p>
    <w:p>
      <w:pPr>
        <w:autoSpaceDE w:val="0"/>
        <w:autoSpaceDN w:val="0"/>
        <w:spacing w:line="360" w:lineRule="auto"/>
        <w:ind w:firstLine="562" w:firstLineChars="200"/>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20．合同的签署</w:t>
      </w:r>
    </w:p>
    <w:p>
      <w:pPr>
        <w:autoSpaceDE w:val="0"/>
        <w:autoSpaceDN w:val="0"/>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20.1</w:t>
      </w:r>
      <w:r>
        <w:rPr>
          <w:rFonts w:hint="eastAsia" w:ascii="仿宋_GB2312" w:hAnsi="仿宋_GB2312" w:eastAsia="仿宋_GB2312" w:cs="仿宋_GB2312"/>
          <w:sz w:val="28"/>
          <w:szCs w:val="28"/>
        </w:rPr>
        <w:t xml:space="preserve"> 中选人在收到中选通知书后，应按中选通知书要求，及时与比选人签订合同。</w:t>
      </w:r>
    </w:p>
    <w:p>
      <w:pPr>
        <w:autoSpaceDE w:val="0"/>
        <w:autoSpaceDN w:val="0"/>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20.2</w:t>
      </w:r>
      <w:r>
        <w:rPr>
          <w:rFonts w:hint="eastAsia" w:ascii="仿宋_GB2312" w:hAnsi="仿宋_GB2312" w:eastAsia="仿宋_GB2312" w:cs="仿宋_GB2312"/>
          <w:sz w:val="28"/>
          <w:szCs w:val="28"/>
        </w:rPr>
        <w:t xml:space="preserve"> 未经比选人同意，中选人不得</w:t>
      </w:r>
      <w:r>
        <w:rPr>
          <w:rFonts w:hint="eastAsia" w:ascii="仿宋_GB2312" w:hAnsi="仿宋_GB2312" w:eastAsia="仿宋_GB2312" w:cs="仿宋_GB2312"/>
          <w:kern w:val="0"/>
          <w:sz w:val="28"/>
          <w:szCs w:val="28"/>
        </w:rPr>
        <w:t>向他人转让中选项目，也不得</w:t>
      </w:r>
      <w:r>
        <w:rPr>
          <w:rFonts w:hint="eastAsia" w:ascii="仿宋_GB2312" w:hAnsi="仿宋_GB2312" w:eastAsia="仿宋_GB2312" w:cs="仿宋_GB2312"/>
          <w:kern w:val="0"/>
          <w:sz w:val="28"/>
          <w:szCs w:val="28"/>
          <w:lang w:val="en-US" w:eastAsia="zh-CN"/>
        </w:rPr>
        <w:t>分包</w:t>
      </w:r>
      <w:r>
        <w:rPr>
          <w:rFonts w:hint="eastAsia" w:ascii="仿宋_GB2312" w:hAnsi="仿宋_GB2312" w:eastAsia="仿宋_GB2312" w:cs="仿宋_GB2312"/>
          <w:sz w:val="28"/>
          <w:szCs w:val="28"/>
        </w:rPr>
        <w:t>。</w:t>
      </w:r>
    </w:p>
    <w:p>
      <w:pPr>
        <w:autoSpaceDE w:val="0"/>
        <w:autoSpaceDN w:val="0"/>
        <w:spacing w:line="360" w:lineRule="auto"/>
        <w:ind w:firstLine="562" w:firstLineChars="200"/>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21．纪律约束与监督</w:t>
      </w:r>
    </w:p>
    <w:p>
      <w:pPr>
        <w:autoSpaceDE w:val="0"/>
        <w:autoSpaceDN w:val="0"/>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21.1</w:t>
      </w:r>
      <w:r>
        <w:rPr>
          <w:rFonts w:hint="eastAsia" w:ascii="仿宋_GB2312" w:hAnsi="仿宋_GB2312" w:eastAsia="仿宋_GB2312" w:cs="仿宋_GB2312"/>
          <w:sz w:val="28"/>
          <w:szCs w:val="28"/>
        </w:rPr>
        <w:t xml:space="preserve"> 严禁比选申请人采取不正当手段，通过参与比选、评审工作的有关人员获取与比选、评审工作有关的涉密信息。也不得通过各种途径向比选人、评审专家和有关领导施以任何干预和影响。</w:t>
      </w:r>
    </w:p>
    <w:p>
      <w:pPr>
        <w:autoSpaceDE w:val="0"/>
        <w:autoSpaceDN w:val="0"/>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21.2</w:t>
      </w:r>
      <w:r>
        <w:rPr>
          <w:rFonts w:hint="eastAsia" w:ascii="仿宋_GB2312" w:hAnsi="仿宋_GB2312" w:eastAsia="仿宋_GB2312" w:cs="仿宋_GB2312"/>
          <w:sz w:val="28"/>
          <w:szCs w:val="28"/>
        </w:rPr>
        <w:t xml:space="preserve"> 比选申请人在比选申请过程中：严禁互相串通、结盟，损害比选的公正性和竞争性；严禁以任何方式影响其他比选申请人参与正当比选申请。</w:t>
      </w:r>
    </w:p>
    <w:p>
      <w:pPr>
        <w:autoSpaceDE w:val="0"/>
        <w:autoSpaceDN w:val="0"/>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21.3</w:t>
      </w:r>
      <w:r>
        <w:rPr>
          <w:rFonts w:hint="eastAsia" w:ascii="仿宋_GB2312" w:hAnsi="仿宋_GB2312" w:eastAsia="仿宋_GB2312" w:cs="仿宋_GB2312"/>
          <w:sz w:val="28"/>
          <w:szCs w:val="28"/>
        </w:rPr>
        <w:t xml:space="preserve"> 如发现比选申请人有上述行为，将取消其比选申请资格；如已中选，比选人可宣布其中选无效，并可将合同授予第二中选候选人或者重新组织比选。</w:t>
      </w:r>
    </w:p>
    <w:p>
      <w:pPr>
        <w:autoSpaceDE w:val="0"/>
        <w:autoSpaceDN w:val="0"/>
        <w:spacing w:line="360" w:lineRule="auto"/>
        <w:ind w:firstLine="562" w:firstLineChars="200"/>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22．保密</w:t>
      </w:r>
    </w:p>
    <w:p>
      <w:pPr>
        <w:autoSpaceDE w:val="0"/>
        <w:autoSpaceDN w:val="0"/>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22.1</w:t>
      </w:r>
      <w:r>
        <w:rPr>
          <w:rFonts w:hint="eastAsia" w:ascii="仿宋_GB2312" w:hAnsi="仿宋_GB2312" w:eastAsia="仿宋_GB2312" w:cs="仿宋_GB2312"/>
          <w:sz w:val="28"/>
          <w:szCs w:val="28"/>
        </w:rPr>
        <w:t xml:space="preserve"> 开标后直至签订合同为止，凡有关对比选申请文件的审查、澄清、答辩和评比工作，都将在保密的情况下进行，任何有关信息和资料，均不得向比选申请人或与上述工作无关的人员泄露。</w:t>
      </w:r>
    </w:p>
    <w:p>
      <w:pPr>
        <w:autoSpaceDE w:val="0"/>
        <w:autoSpaceDN w:val="0"/>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22.2</w:t>
      </w:r>
      <w:r>
        <w:rPr>
          <w:rFonts w:hint="eastAsia" w:ascii="仿宋_GB2312" w:hAnsi="仿宋_GB2312" w:eastAsia="仿宋_GB2312" w:cs="仿宋_GB2312"/>
          <w:sz w:val="28"/>
          <w:szCs w:val="28"/>
        </w:rPr>
        <w:t xml:space="preserve"> 有关部门、比选人对比选申请人的比选申请资料（尤其是技术秘密）负有保密义务。</w:t>
      </w:r>
      <w:bookmarkStart w:id="41" w:name="_Toc217878606"/>
    </w:p>
    <w:bookmarkEnd w:id="41"/>
    <w:p>
      <w:pPr>
        <w:keepNext/>
        <w:keepLines/>
        <w:spacing w:before="120" w:beforeLines="50" w:after="120" w:afterLines="50" w:line="360" w:lineRule="auto"/>
        <w:rPr>
          <w:rFonts w:hint="eastAsia" w:ascii="仿宋_GB2312" w:hAnsi="仿宋_GB2312" w:eastAsia="仿宋_GB2312" w:cs="仿宋_GB2312"/>
          <w:b/>
          <w:bCs/>
          <w:sz w:val="28"/>
          <w:szCs w:val="28"/>
        </w:rPr>
      </w:pPr>
      <w:bookmarkStart w:id="42" w:name="_Toc528624780"/>
      <w:r>
        <w:rPr>
          <w:rFonts w:hint="eastAsia" w:ascii="仿宋_GB2312" w:hAnsi="仿宋_GB2312" w:eastAsia="仿宋_GB2312" w:cs="仿宋_GB2312"/>
          <w:b/>
          <w:bCs/>
          <w:sz w:val="28"/>
          <w:szCs w:val="28"/>
        </w:rPr>
        <w:t>七、监督机构</w:t>
      </w:r>
      <w:bookmarkEnd w:id="42"/>
    </w:p>
    <w:p>
      <w:pPr>
        <w:autoSpaceDE w:val="0"/>
        <w:autoSpaceDN w:val="0"/>
        <w:spacing w:line="360" w:lineRule="auto"/>
        <w:ind w:firstLine="562" w:firstLineChars="200"/>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23．监督机构</w:t>
      </w:r>
    </w:p>
    <w:p>
      <w:pPr>
        <w:spacing w:line="60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kern w:val="0"/>
          <w:sz w:val="28"/>
          <w:szCs w:val="28"/>
          <w:lang w:val="en-US" w:eastAsia="zh-CN"/>
        </w:rPr>
        <w:t>比选申请人须知前附表33项</w:t>
      </w:r>
      <w:r>
        <w:rPr>
          <w:rFonts w:hint="eastAsia" w:ascii="仿宋_GB2312" w:hAnsi="仿宋_GB2312" w:eastAsia="仿宋_GB2312" w:cs="仿宋_GB2312"/>
          <w:sz w:val="28"/>
          <w:szCs w:val="24"/>
        </w:rPr>
        <w:br w:type="page"/>
      </w:r>
      <w:bookmarkStart w:id="43" w:name="_Toc456166140"/>
      <w:bookmarkStart w:id="44" w:name="_Toc456166149"/>
      <w:bookmarkStart w:id="45" w:name="_Toc455607512"/>
    </w:p>
    <w:p>
      <w:pPr>
        <w:pStyle w:val="6"/>
        <w:jc w:val="center"/>
        <w:rPr>
          <w:sz w:val="36"/>
          <w:szCs w:val="36"/>
        </w:rPr>
        <w:sectPr>
          <w:pgSz w:w="11911" w:h="16838"/>
          <w:pgMar w:top="1474" w:right="1474" w:bottom="1474" w:left="1474" w:header="799" w:footer="918" w:gutter="0"/>
          <w:pgNumType w:fmt="decimal"/>
          <w:cols w:space="0" w:num="1"/>
        </w:sectPr>
      </w:pPr>
      <w:bookmarkStart w:id="46" w:name="_Toc32050"/>
      <w:bookmarkStart w:id="47" w:name="_Toc27244"/>
      <w:bookmarkStart w:id="48" w:name="_Toc15232"/>
      <w:bookmarkStart w:id="49" w:name="_Toc9069"/>
      <w:bookmarkStart w:id="50" w:name="_Toc3039"/>
      <w:bookmarkStart w:id="51" w:name="_Toc14986"/>
      <w:bookmarkStart w:id="52" w:name="_Toc7772"/>
      <w:bookmarkStart w:id="53" w:name="_Toc3420"/>
      <w:bookmarkStart w:id="54" w:name="_Toc27670"/>
      <w:bookmarkStart w:id="55" w:name="_Toc1141"/>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
      <w:pPr>
        <w:pStyle w:val="5"/>
        <w:jc w:val="center"/>
        <w:rPr>
          <w:rFonts w:hint="eastAsia" w:ascii="仿宋" w:hAnsi="仿宋" w:eastAsia="仿宋" w:cs="仿宋"/>
        </w:rPr>
      </w:pPr>
      <w:bookmarkStart w:id="56" w:name="_Toc438314837"/>
      <w:bookmarkStart w:id="57" w:name="_Toc31916"/>
      <w:bookmarkStart w:id="58" w:name="_Toc528624781"/>
      <w:r>
        <w:rPr>
          <w:rFonts w:hint="eastAsia" w:ascii="仿宋" w:hAnsi="仿宋" w:eastAsia="仿宋" w:cs="仿宋"/>
        </w:rPr>
        <w:t>第三篇  评审标准及方法</w:t>
      </w:r>
      <w:bookmarkEnd w:id="56"/>
      <w:bookmarkEnd w:id="57"/>
      <w:bookmarkEnd w:id="58"/>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pStyle w:val="18"/>
        <w:spacing w:line="360" w:lineRule="auto"/>
        <w:rPr>
          <w:rFonts w:hint="eastAsia" w:ascii="仿宋" w:hAnsi="仿宋" w:eastAsia="仿宋" w:cs="仿宋"/>
          <w:b/>
          <w:sz w:val="32"/>
          <w:szCs w:val="32"/>
        </w:rPr>
      </w:pPr>
    </w:p>
    <w:p>
      <w:pPr>
        <w:pStyle w:val="6"/>
        <w:jc w:val="center"/>
        <w:rPr>
          <w:sz w:val="36"/>
          <w:szCs w:val="36"/>
        </w:rPr>
        <w:sectPr>
          <w:pgSz w:w="11911" w:h="16838"/>
          <w:pgMar w:top="1474" w:right="1474" w:bottom="1474" w:left="1474" w:header="799" w:footer="918" w:gutter="0"/>
          <w:pgNumType w:fmt="decimal"/>
          <w:cols w:space="0" w:num="1"/>
        </w:sectPr>
      </w:pPr>
    </w:p>
    <w:p>
      <w:pPr>
        <w:pStyle w:val="18"/>
        <w:spacing w:line="360" w:lineRule="auto"/>
        <w:jc w:val="center"/>
        <w:outlineLvl w:val="1"/>
        <w:rPr>
          <w:rFonts w:hint="eastAsia" w:ascii="仿宋" w:hAnsi="仿宋" w:eastAsia="仿宋" w:cs="仿宋"/>
          <w:sz w:val="32"/>
          <w:szCs w:val="32"/>
        </w:rPr>
      </w:pPr>
      <w:r>
        <w:rPr>
          <w:rFonts w:hint="eastAsia" w:ascii="仿宋" w:hAnsi="仿宋" w:eastAsia="仿宋" w:cs="仿宋"/>
          <w:b/>
          <w:sz w:val="32"/>
          <w:szCs w:val="32"/>
        </w:rPr>
        <w:t>（一）评审办法前附表</w:t>
      </w:r>
    </w:p>
    <w:p>
      <w:pPr>
        <w:spacing w:line="336" w:lineRule="auto"/>
        <w:ind w:firstLine="400" w:firstLineChars="200"/>
        <w:rPr>
          <w:rFonts w:hint="eastAsia" w:ascii="宋体" w:hAnsi="宋体" w:eastAsia="宋体" w:cs="宋体"/>
          <w:sz w:val="20"/>
          <w:szCs w:val="20"/>
        </w:rPr>
      </w:pPr>
      <w:r>
        <w:rPr>
          <w:rFonts w:hint="eastAsia" w:ascii="宋体" w:hAnsi="宋体" w:eastAsia="宋体" w:cs="宋体"/>
          <w:sz w:val="20"/>
          <w:szCs w:val="20"/>
        </w:rPr>
        <w:t>《评审办法前附表》用于进一步明确正文中的未尽事宜，由比选人根据本项目具体特点和实际需要编制和填写，与比选文件其他章节相衔接，并与本章正文内容不相抵触。前附表内容与正文不一致的，以前附表内容为准。《评审办法前附表》没有列明的因素和标准不得作为评审依据。</w:t>
      </w:r>
    </w:p>
    <w:tbl>
      <w:tblPr>
        <w:tblStyle w:val="31"/>
        <w:tblW w:w="91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1"/>
        <w:gridCol w:w="1844"/>
        <w:gridCol w:w="61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2945" w:type="dxa"/>
            <w:gridSpan w:val="2"/>
            <w:vAlign w:val="center"/>
          </w:tcPr>
          <w:p>
            <w:pPr>
              <w:jc w:val="center"/>
              <w:rPr>
                <w:rFonts w:hint="eastAsia" w:ascii="宋体" w:hAnsi="宋体" w:eastAsia="宋体" w:cs="宋体"/>
                <w:b/>
                <w:sz w:val="20"/>
                <w:szCs w:val="20"/>
              </w:rPr>
            </w:pPr>
            <w:r>
              <w:rPr>
                <w:rFonts w:hint="eastAsia" w:ascii="宋体" w:hAnsi="宋体" w:eastAsia="宋体" w:cs="宋体"/>
                <w:b/>
                <w:sz w:val="20"/>
                <w:szCs w:val="20"/>
              </w:rPr>
              <w:t>条款号</w:t>
            </w:r>
          </w:p>
        </w:tc>
        <w:tc>
          <w:tcPr>
            <w:tcW w:w="6190" w:type="dxa"/>
            <w:vAlign w:val="center"/>
          </w:tcPr>
          <w:p>
            <w:pPr>
              <w:jc w:val="center"/>
              <w:rPr>
                <w:rFonts w:hint="eastAsia" w:ascii="宋体" w:hAnsi="宋体" w:eastAsia="宋体" w:cs="宋体"/>
                <w:b/>
                <w:sz w:val="20"/>
                <w:szCs w:val="20"/>
              </w:rPr>
            </w:pPr>
            <w:r>
              <w:rPr>
                <w:rFonts w:hint="eastAsia" w:ascii="宋体" w:hAnsi="宋体" w:eastAsia="宋体" w:cs="宋体"/>
                <w:b/>
                <w:sz w:val="20"/>
                <w:szCs w:val="20"/>
              </w:rPr>
              <w:t>评审因素与评审标准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35" w:hRule="atLeast"/>
        </w:trPr>
        <w:tc>
          <w:tcPr>
            <w:tcW w:w="1101"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1</w:t>
            </w:r>
          </w:p>
        </w:tc>
        <w:tc>
          <w:tcPr>
            <w:tcW w:w="1844" w:type="dxa"/>
            <w:vAlign w:val="center"/>
          </w:tcPr>
          <w:p>
            <w:pPr>
              <w:spacing w:line="360" w:lineRule="auto"/>
              <w:jc w:val="center"/>
              <w:rPr>
                <w:rFonts w:hint="eastAsia" w:ascii="宋体" w:hAnsi="宋体" w:eastAsia="宋体" w:cs="宋体"/>
                <w:sz w:val="20"/>
                <w:szCs w:val="20"/>
              </w:rPr>
            </w:pPr>
            <w:r>
              <w:rPr>
                <w:rFonts w:hint="eastAsia" w:ascii="宋体" w:hAnsi="宋体" w:eastAsia="宋体" w:cs="宋体"/>
                <w:sz w:val="20"/>
                <w:szCs w:val="20"/>
              </w:rPr>
              <w:t>评审方法</w:t>
            </w:r>
          </w:p>
        </w:tc>
        <w:tc>
          <w:tcPr>
            <w:tcW w:w="6190" w:type="dxa"/>
            <w:vAlign w:val="center"/>
          </w:tcPr>
          <w:p>
            <w:pPr>
              <w:spacing w:line="480" w:lineRule="exact"/>
              <w:rPr>
                <w:rFonts w:hint="eastAsia" w:ascii="宋体" w:hAnsi="宋体" w:eastAsia="宋体" w:cs="宋体"/>
                <w:sz w:val="20"/>
                <w:szCs w:val="20"/>
              </w:rPr>
            </w:pPr>
            <w:r>
              <w:rPr>
                <w:rFonts w:hint="eastAsia" w:ascii="宋体" w:hAnsi="宋体" w:eastAsia="宋体" w:cs="宋体"/>
                <w:sz w:val="20"/>
                <w:szCs w:val="20"/>
              </w:rPr>
              <w:t>1.本次比选评标办法采用综合评分法，采用资格后审，即对比选申请人的商务文件、技术文件和报价文件进行评分，按照综合评分由高到低排序。当比选申请人的综合评分相等时，评标委员会依次按照以下顺序推荐</w:t>
            </w:r>
            <w:r>
              <w:rPr>
                <w:rFonts w:hint="eastAsia" w:ascii="宋体" w:hAnsi="宋体" w:eastAsia="宋体" w:cs="宋体"/>
                <w:sz w:val="20"/>
                <w:szCs w:val="20"/>
                <w:highlight w:val="none"/>
                <w:lang w:eastAsia="zh-CN"/>
              </w:rPr>
              <w:t>中选候选人</w:t>
            </w:r>
            <w:r>
              <w:rPr>
                <w:rFonts w:hint="eastAsia" w:ascii="宋体" w:hAnsi="宋体" w:eastAsia="宋体" w:cs="宋体"/>
                <w:sz w:val="20"/>
                <w:szCs w:val="20"/>
                <w:highlight w:val="none"/>
              </w:rPr>
              <w:t>：</w:t>
            </w:r>
          </w:p>
          <w:p>
            <w:pPr>
              <w:spacing w:line="480" w:lineRule="exact"/>
              <w:rPr>
                <w:rFonts w:hint="eastAsia" w:ascii="宋体" w:hAnsi="宋体" w:eastAsia="宋体" w:cs="宋体"/>
                <w:sz w:val="20"/>
                <w:szCs w:val="20"/>
              </w:rPr>
            </w:pPr>
            <w:r>
              <w:rPr>
                <w:rFonts w:hint="eastAsia" w:ascii="宋体" w:hAnsi="宋体" w:eastAsia="宋体" w:cs="宋体"/>
                <w:sz w:val="20"/>
                <w:szCs w:val="20"/>
              </w:rPr>
              <w:t>（1）服务方案得分高的优先；</w:t>
            </w:r>
          </w:p>
          <w:p>
            <w:pPr>
              <w:spacing w:line="480" w:lineRule="exact"/>
              <w:rPr>
                <w:rFonts w:hint="eastAsia" w:ascii="宋体" w:hAnsi="宋体" w:eastAsia="宋体" w:cs="宋体"/>
                <w:sz w:val="20"/>
                <w:szCs w:val="20"/>
              </w:rPr>
            </w:pPr>
            <w:r>
              <w:rPr>
                <w:rFonts w:hint="eastAsia" w:ascii="宋体" w:hAnsi="宋体" w:eastAsia="宋体" w:cs="宋体"/>
                <w:sz w:val="20"/>
                <w:szCs w:val="20"/>
              </w:rPr>
              <w:t>（2）评标价得分高的比选申请人优先；</w:t>
            </w:r>
          </w:p>
          <w:p>
            <w:pPr>
              <w:spacing w:line="480" w:lineRule="exact"/>
              <w:rPr>
                <w:rFonts w:hint="eastAsia" w:ascii="宋体" w:hAnsi="宋体" w:eastAsia="宋体" w:cs="宋体"/>
                <w:sz w:val="20"/>
                <w:szCs w:val="20"/>
              </w:rPr>
            </w:pPr>
            <w:r>
              <w:rPr>
                <w:rFonts w:hint="eastAsia" w:ascii="宋体" w:hAnsi="宋体" w:eastAsia="宋体" w:cs="宋体"/>
                <w:sz w:val="20"/>
                <w:szCs w:val="20"/>
              </w:rPr>
              <w:t>（3）当出现上述情况以外的情形，则按有利于</w:t>
            </w:r>
            <w:r>
              <w:rPr>
                <w:rFonts w:hint="eastAsia" w:ascii="宋体" w:hAnsi="宋体" w:eastAsia="宋体" w:cs="宋体"/>
                <w:sz w:val="20"/>
                <w:szCs w:val="20"/>
                <w:highlight w:val="none"/>
                <w:lang w:eastAsia="zh-CN"/>
              </w:rPr>
              <w:t>比选人</w:t>
            </w:r>
            <w:r>
              <w:rPr>
                <w:rFonts w:hint="eastAsia" w:ascii="宋体" w:hAnsi="宋体" w:eastAsia="宋体" w:cs="宋体"/>
                <w:sz w:val="20"/>
                <w:szCs w:val="20"/>
              </w:rPr>
              <w:t>的原则进行推荐。</w:t>
            </w:r>
          </w:p>
          <w:p>
            <w:pPr>
              <w:spacing w:line="480" w:lineRule="exact"/>
              <w:rPr>
                <w:rFonts w:hint="eastAsia" w:ascii="宋体" w:hAnsi="宋体" w:eastAsia="宋体" w:cs="宋体"/>
                <w:sz w:val="20"/>
                <w:szCs w:val="20"/>
              </w:rPr>
            </w:pPr>
            <w:r>
              <w:rPr>
                <w:rFonts w:hint="eastAsia" w:ascii="宋体" w:hAnsi="宋体" w:eastAsia="宋体" w:cs="宋体"/>
                <w:sz w:val="20"/>
                <w:szCs w:val="20"/>
              </w:rPr>
              <w:t>2.评标委员会最终推荐3名</w:t>
            </w:r>
            <w:r>
              <w:rPr>
                <w:rFonts w:hint="eastAsia" w:ascii="宋体" w:hAnsi="宋体" w:eastAsia="宋体" w:cs="宋体"/>
                <w:sz w:val="20"/>
                <w:szCs w:val="20"/>
                <w:highlight w:val="none"/>
                <w:lang w:eastAsia="zh-CN"/>
              </w:rPr>
              <w:t>中选候选人</w:t>
            </w:r>
            <w:r>
              <w:rPr>
                <w:rFonts w:hint="eastAsia" w:ascii="宋体" w:hAnsi="宋体" w:eastAsia="宋体" w:cs="宋体"/>
                <w:sz w:val="20"/>
                <w:szCs w:val="20"/>
                <w:highlight w:val="none"/>
              </w:rPr>
              <w:t>（</w:t>
            </w:r>
            <w:r>
              <w:rPr>
                <w:rFonts w:hint="eastAsia" w:ascii="宋体" w:hAnsi="宋体" w:eastAsia="宋体" w:cs="宋体"/>
                <w:sz w:val="20"/>
                <w:szCs w:val="20"/>
              </w:rPr>
              <w:t>若不足3名，则按相应数量推荐）。</w:t>
            </w:r>
          </w:p>
          <w:p>
            <w:pPr>
              <w:spacing w:line="480" w:lineRule="exact"/>
              <w:rPr>
                <w:rFonts w:hint="eastAsia" w:ascii="宋体" w:hAnsi="宋体" w:eastAsia="宋体" w:cs="宋体"/>
                <w:sz w:val="20"/>
                <w:szCs w:val="20"/>
              </w:rPr>
            </w:pPr>
            <w:r>
              <w:rPr>
                <w:rFonts w:hint="eastAsia" w:ascii="宋体" w:hAnsi="宋体" w:eastAsia="宋体" w:cs="宋体"/>
                <w:sz w:val="20"/>
                <w:szCs w:val="20"/>
              </w:rPr>
              <w:t>3.在评标过程中，如有效比选申请不足3个，评标委员会应当对有效比选申请是否仍具有竞争性进行评审。评标委员会一致认为有效比选申请仍具有竞争性的，应当继续推荐</w:t>
            </w:r>
            <w:r>
              <w:rPr>
                <w:rFonts w:hint="eastAsia" w:ascii="宋体" w:hAnsi="宋体" w:eastAsia="宋体" w:cs="宋体"/>
                <w:sz w:val="20"/>
                <w:szCs w:val="20"/>
                <w:lang w:eastAsia="zh-CN"/>
              </w:rPr>
              <w:t>中选候选人</w:t>
            </w:r>
            <w:r>
              <w:rPr>
                <w:rFonts w:hint="eastAsia" w:ascii="宋体" w:hAnsi="宋体" w:eastAsia="宋体" w:cs="宋体"/>
                <w:sz w:val="20"/>
                <w:szCs w:val="20"/>
              </w:rPr>
              <w:t>，并在评标报告中予以说明。评标委员会对有效比选申请是否仍具有竞争性无法达成一致意见的，应当否决全部比选申请，并在评标报告中做出说明。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01"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2.1.1</w:t>
            </w:r>
          </w:p>
          <w:p>
            <w:pPr>
              <w:jc w:val="center"/>
              <w:rPr>
                <w:rFonts w:hint="eastAsia" w:ascii="宋体" w:hAnsi="宋体" w:eastAsia="宋体" w:cs="宋体"/>
                <w:sz w:val="20"/>
                <w:szCs w:val="20"/>
              </w:rPr>
            </w:pPr>
            <w:r>
              <w:rPr>
                <w:rFonts w:hint="eastAsia" w:ascii="宋体" w:hAnsi="宋体" w:eastAsia="宋体" w:cs="宋体"/>
                <w:sz w:val="20"/>
                <w:szCs w:val="20"/>
              </w:rPr>
              <w:t>2.1.3</w:t>
            </w:r>
          </w:p>
        </w:tc>
        <w:tc>
          <w:tcPr>
            <w:tcW w:w="1844"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形式评审标准与响应性评审</w:t>
            </w:r>
          </w:p>
        </w:tc>
        <w:tc>
          <w:tcPr>
            <w:tcW w:w="6190" w:type="dxa"/>
            <w:vAlign w:val="center"/>
          </w:tcPr>
          <w:p>
            <w:pPr>
              <w:keepNext w:val="0"/>
              <w:keepLines w:val="0"/>
              <w:pageBreakBefore w:val="0"/>
              <w:widowControl/>
              <w:kinsoku/>
              <w:wordWrap/>
              <w:overflowPunct/>
              <w:topLinePunct w:val="0"/>
              <w:bidi w:val="0"/>
              <w:spacing w:line="240" w:lineRule="auto"/>
              <w:ind w:firstLine="0" w:firstLineChars="0"/>
              <w:jc w:val="both"/>
              <w:textAlignment w:val="auto"/>
              <w:rPr>
                <w:rFonts w:hint="eastAsia" w:ascii="宋体" w:hAnsi="宋体" w:eastAsia="宋体" w:cs="宋体"/>
                <w:b/>
                <w:color w:val="000000"/>
                <w:sz w:val="20"/>
                <w:szCs w:val="20"/>
              </w:rPr>
            </w:pPr>
            <w:r>
              <w:rPr>
                <w:rFonts w:hint="eastAsia" w:ascii="宋体" w:hAnsi="宋体" w:eastAsia="宋体" w:cs="宋体"/>
                <w:b/>
                <w:color w:val="000000"/>
                <w:sz w:val="20"/>
                <w:szCs w:val="20"/>
              </w:rPr>
              <w:t>第一个信封（商务及技术文件）评审标准：</w:t>
            </w:r>
          </w:p>
          <w:p>
            <w:pPr>
              <w:spacing w:line="480" w:lineRule="exact"/>
              <w:rPr>
                <w:rFonts w:hint="eastAsia" w:ascii="宋体" w:hAnsi="宋体" w:eastAsia="宋体" w:cs="宋体"/>
                <w:sz w:val="20"/>
                <w:szCs w:val="20"/>
              </w:rPr>
            </w:pPr>
            <w:r>
              <w:rPr>
                <w:rFonts w:hint="eastAsia" w:ascii="宋体" w:hAnsi="宋体" w:eastAsia="宋体" w:cs="宋体"/>
                <w:sz w:val="20"/>
                <w:szCs w:val="20"/>
              </w:rPr>
              <w:t>（1）比选申请文件按照比选文件规定的格式、内容填写，字迹清晰可辨；比选申请文件组成齐全完整，内容均按规定填写。</w:t>
            </w:r>
          </w:p>
          <w:p>
            <w:pPr>
              <w:spacing w:line="480" w:lineRule="exact"/>
              <w:rPr>
                <w:rFonts w:hint="eastAsia" w:ascii="宋体" w:hAnsi="宋体" w:eastAsia="宋体" w:cs="宋体"/>
                <w:sz w:val="20"/>
                <w:szCs w:val="20"/>
              </w:rPr>
            </w:pPr>
            <w:r>
              <w:rPr>
                <w:rFonts w:hint="eastAsia" w:ascii="宋体" w:hAnsi="宋体" w:eastAsia="宋体" w:cs="宋体"/>
                <w:sz w:val="20"/>
                <w:szCs w:val="20"/>
              </w:rPr>
              <w:t>（2）比选文件上凡注明有签字和盖章的地方，比选申请人签字盖章齐全，符合比选文件规定；比选申请人单位章内容与其营业执照名称一致，且未使用专用印章代替单位章；比选申请文件中有改动之处均加盖比选申请人单位章或由比选申请人的法定代表人或其委托代理人签字确认。</w:t>
            </w:r>
          </w:p>
          <w:p>
            <w:pPr>
              <w:spacing w:line="480" w:lineRule="exact"/>
              <w:rPr>
                <w:rFonts w:hint="eastAsia" w:ascii="宋体" w:hAnsi="宋体" w:eastAsia="宋体" w:cs="宋体"/>
                <w:sz w:val="20"/>
                <w:szCs w:val="20"/>
              </w:rPr>
            </w:pPr>
            <w:r>
              <w:rPr>
                <w:rFonts w:hint="eastAsia" w:ascii="宋体" w:hAnsi="宋体" w:eastAsia="宋体" w:cs="宋体"/>
                <w:sz w:val="20"/>
                <w:szCs w:val="20"/>
              </w:rPr>
              <w:t>（3）比选申请人法定代表人的委托代理人，其授权委托书符合比选文件规定；法定代表人证明材料符合比选文件的规定；</w:t>
            </w:r>
          </w:p>
          <w:p>
            <w:pPr>
              <w:spacing w:line="480" w:lineRule="exact"/>
              <w:rPr>
                <w:rFonts w:hint="eastAsia" w:ascii="宋体" w:hAnsi="宋体" w:eastAsia="宋体" w:cs="宋体"/>
                <w:sz w:val="20"/>
                <w:szCs w:val="20"/>
              </w:rPr>
            </w:pPr>
            <w:r>
              <w:rPr>
                <w:rFonts w:hint="eastAsia" w:ascii="宋体" w:hAnsi="宋体" w:eastAsia="宋体" w:cs="宋体"/>
                <w:sz w:val="20"/>
                <w:szCs w:val="20"/>
              </w:rPr>
              <w:t>（4）比选申请报价文件载明的比选项目完成期限不得超过比选文件规定的时限；</w:t>
            </w:r>
          </w:p>
          <w:p>
            <w:pPr>
              <w:spacing w:line="480" w:lineRule="exact"/>
              <w:rPr>
                <w:rFonts w:hint="eastAsia" w:ascii="宋体" w:hAnsi="宋体" w:eastAsia="宋体" w:cs="宋体"/>
                <w:sz w:val="20"/>
                <w:szCs w:val="20"/>
              </w:rPr>
            </w:pPr>
            <w:r>
              <w:rPr>
                <w:rFonts w:hint="eastAsia" w:ascii="宋体" w:hAnsi="宋体" w:eastAsia="宋体" w:cs="宋体"/>
                <w:sz w:val="20"/>
                <w:szCs w:val="20"/>
              </w:rPr>
              <w:t>（5）比选申请报价文件不应附有比选人不能接受的其他条件；</w:t>
            </w:r>
          </w:p>
          <w:p>
            <w:pPr>
              <w:spacing w:line="480" w:lineRule="exact"/>
              <w:rPr>
                <w:rFonts w:hint="eastAsia" w:ascii="宋体" w:hAnsi="宋体" w:eastAsia="宋体" w:cs="宋体"/>
                <w:sz w:val="20"/>
                <w:szCs w:val="20"/>
              </w:rPr>
            </w:pPr>
            <w:r>
              <w:rPr>
                <w:rFonts w:hint="eastAsia" w:ascii="宋体" w:hAnsi="宋体" w:eastAsia="宋体" w:cs="宋体"/>
                <w:sz w:val="20"/>
                <w:szCs w:val="20"/>
              </w:rPr>
              <w:t>（6）比选申请人没有对比选文件提出的其他重要问题不予响应的；</w:t>
            </w:r>
          </w:p>
          <w:p>
            <w:pPr>
              <w:spacing w:line="480" w:lineRule="exact"/>
              <w:rPr>
                <w:rFonts w:hint="eastAsia" w:ascii="宋体" w:hAnsi="宋体" w:eastAsia="宋体" w:cs="宋体"/>
                <w:sz w:val="20"/>
                <w:szCs w:val="20"/>
              </w:rPr>
            </w:pPr>
            <w:r>
              <w:rPr>
                <w:rFonts w:hint="eastAsia" w:ascii="宋体" w:hAnsi="宋体" w:eastAsia="宋体" w:cs="宋体"/>
                <w:sz w:val="20"/>
                <w:szCs w:val="20"/>
              </w:rPr>
              <w:t>（7）比选申请人未提出不同的工程验收、计量、支付办法；</w:t>
            </w:r>
          </w:p>
          <w:p>
            <w:pPr>
              <w:spacing w:line="480" w:lineRule="exact"/>
              <w:rPr>
                <w:rFonts w:hint="eastAsia" w:ascii="宋体" w:hAnsi="宋体" w:eastAsia="宋体" w:cs="宋体"/>
                <w:sz w:val="20"/>
                <w:szCs w:val="20"/>
              </w:rPr>
            </w:pPr>
            <w:r>
              <w:rPr>
                <w:rFonts w:hint="eastAsia" w:ascii="宋体" w:hAnsi="宋体" w:eastAsia="宋体" w:cs="宋体"/>
                <w:sz w:val="20"/>
                <w:szCs w:val="20"/>
              </w:rPr>
              <w:t>（8）比选申请人未对合同纠纷、事故处理办法提出异议；</w:t>
            </w:r>
          </w:p>
          <w:p>
            <w:pPr>
              <w:spacing w:line="480" w:lineRule="exact"/>
              <w:rPr>
                <w:rFonts w:hint="eastAsia" w:ascii="宋体" w:hAnsi="宋体" w:eastAsia="宋体" w:cs="宋体"/>
                <w:sz w:val="20"/>
                <w:szCs w:val="20"/>
              </w:rPr>
            </w:pPr>
            <w:r>
              <w:rPr>
                <w:rFonts w:hint="eastAsia" w:ascii="宋体" w:hAnsi="宋体" w:eastAsia="宋体" w:cs="宋体"/>
                <w:sz w:val="20"/>
                <w:szCs w:val="20"/>
              </w:rPr>
              <w:t>（9）比选申请人在比选活动中未提供虚假资料、没有欺诈行为；</w:t>
            </w:r>
          </w:p>
          <w:p>
            <w:pPr>
              <w:spacing w:line="480" w:lineRule="exact"/>
              <w:rPr>
                <w:rFonts w:hint="eastAsia" w:ascii="宋体" w:hAnsi="宋体" w:eastAsia="宋体" w:cs="宋体"/>
                <w:sz w:val="20"/>
                <w:szCs w:val="20"/>
              </w:rPr>
            </w:pPr>
            <w:r>
              <w:rPr>
                <w:rFonts w:hint="eastAsia" w:ascii="宋体" w:hAnsi="宋体" w:eastAsia="宋体" w:cs="宋体"/>
                <w:sz w:val="20"/>
                <w:szCs w:val="20"/>
              </w:rPr>
              <w:t>（10）比选申请人对合同条款没有重要保留。</w:t>
            </w:r>
          </w:p>
          <w:p>
            <w:pPr>
              <w:spacing w:line="480" w:lineRule="exact"/>
              <w:rPr>
                <w:rFonts w:hint="eastAsia" w:ascii="宋体" w:hAnsi="宋体" w:eastAsia="宋体" w:cs="宋体"/>
                <w:sz w:val="20"/>
                <w:szCs w:val="20"/>
              </w:rPr>
            </w:pPr>
            <w:r>
              <w:rPr>
                <w:rFonts w:hint="eastAsia" w:ascii="宋体" w:hAnsi="宋体" w:eastAsia="宋体" w:cs="宋体"/>
                <w:sz w:val="20"/>
                <w:szCs w:val="20"/>
              </w:rPr>
              <w:t>（11）比选申请文件对比选文件的实质性要求和条件按比选申请书（第一个信封）作出响应。</w:t>
            </w:r>
          </w:p>
          <w:p>
            <w:pPr>
              <w:spacing w:line="480" w:lineRule="exact"/>
              <w:rPr>
                <w:rFonts w:hint="eastAsia" w:ascii="宋体" w:hAnsi="宋体" w:eastAsia="宋体" w:cs="宋体"/>
                <w:sz w:val="20"/>
                <w:szCs w:val="20"/>
              </w:rPr>
            </w:pPr>
            <w:r>
              <w:rPr>
                <w:rFonts w:hint="eastAsia" w:ascii="宋体" w:hAnsi="宋体" w:eastAsia="宋体" w:cs="宋体"/>
                <w:sz w:val="20"/>
                <w:szCs w:val="20"/>
              </w:rPr>
              <w:t>（12）权利义务按比选文件的规定在比选申请函（第一个信封）中作出承诺。</w:t>
            </w:r>
          </w:p>
          <w:p>
            <w:pPr>
              <w:spacing w:line="480" w:lineRule="exact"/>
              <w:rPr>
                <w:rFonts w:hint="eastAsia" w:ascii="宋体" w:hAnsi="宋体" w:eastAsia="宋体" w:cs="宋体"/>
                <w:sz w:val="20"/>
                <w:szCs w:val="20"/>
              </w:rPr>
            </w:pPr>
            <w:r>
              <w:rPr>
                <w:rFonts w:hint="eastAsia" w:ascii="宋体" w:hAnsi="宋体" w:eastAsia="宋体" w:cs="宋体"/>
                <w:sz w:val="20"/>
                <w:szCs w:val="20"/>
              </w:rPr>
              <w:t>比选申请报价文件不符合以上条件之一的，评审委员会认为其存有重大偏差，并对该比选申请报价文件作废处理。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01" w:type="dxa"/>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2.1.1</w:t>
            </w:r>
          </w:p>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z w:val="20"/>
                <w:szCs w:val="20"/>
              </w:rPr>
              <w:t>2.1.3</w:t>
            </w:r>
          </w:p>
        </w:tc>
        <w:tc>
          <w:tcPr>
            <w:tcW w:w="1844" w:type="dxa"/>
            <w:vAlign w:val="center"/>
          </w:tcPr>
          <w:p>
            <w:pPr>
              <w:keepNext w:val="0"/>
              <w:keepLines w:val="0"/>
              <w:pageBreakBefore w:val="0"/>
              <w:kinsoku/>
              <w:wordWrap/>
              <w:overflowPunct/>
              <w:topLinePunct w:val="0"/>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z w:val="20"/>
                <w:szCs w:val="20"/>
              </w:rPr>
              <w:t>形式评审与响应性评审标准</w:t>
            </w:r>
          </w:p>
        </w:tc>
        <w:tc>
          <w:tcPr>
            <w:tcW w:w="6190" w:type="dxa"/>
            <w:vAlign w:val="center"/>
          </w:tcPr>
          <w:p>
            <w:pPr>
              <w:keepNext w:val="0"/>
              <w:keepLines w:val="0"/>
              <w:pageBreakBefore w:val="0"/>
              <w:kinsoku/>
              <w:wordWrap/>
              <w:overflowPunct/>
              <w:topLinePunct w:val="0"/>
              <w:bidi w:val="0"/>
              <w:spacing w:line="240" w:lineRule="auto"/>
              <w:ind w:firstLine="0" w:firstLineChars="0"/>
              <w:jc w:val="both"/>
              <w:textAlignment w:val="auto"/>
              <w:rPr>
                <w:rFonts w:hint="eastAsia" w:ascii="宋体" w:hAnsi="宋体" w:eastAsia="宋体" w:cs="宋体"/>
                <w:b/>
                <w:color w:val="000000"/>
                <w:sz w:val="20"/>
                <w:szCs w:val="20"/>
              </w:rPr>
            </w:pPr>
            <w:r>
              <w:rPr>
                <w:rFonts w:hint="eastAsia" w:ascii="宋体" w:hAnsi="宋体" w:eastAsia="宋体" w:cs="宋体"/>
                <w:b/>
                <w:color w:val="000000"/>
                <w:sz w:val="20"/>
                <w:szCs w:val="20"/>
              </w:rPr>
              <w:t>第二个信封（报价文件）评审标准：</w:t>
            </w:r>
          </w:p>
          <w:p>
            <w:pPr>
              <w:keepNext w:val="0"/>
              <w:keepLines w:val="0"/>
              <w:pageBreakBefore w:val="0"/>
              <w:kinsoku/>
              <w:wordWrap/>
              <w:overflowPunct/>
              <w:topLinePunct w:val="0"/>
              <w:bidi w:val="0"/>
              <w:spacing w:line="240" w:lineRule="auto"/>
              <w:ind w:firstLine="0" w:firstLineChars="0"/>
              <w:jc w:val="both"/>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（1）按照比选文件规定的格式、内容填写，字迹清晰可辨，内容齐全完成；</w:t>
            </w:r>
          </w:p>
          <w:p>
            <w:pPr>
              <w:keepNext w:val="0"/>
              <w:keepLines w:val="0"/>
              <w:pageBreakBefore w:val="0"/>
              <w:kinsoku/>
              <w:wordWrap/>
              <w:overflowPunct/>
              <w:topLinePunct w:val="0"/>
              <w:bidi w:val="0"/>
              <w:spacing w:line="240" w:lineRule="auto"/>
              <w:ind w:firstLine="0" w:firstLineChars="0"/>
              <w:jc w:val="both"/>
              <w:textAlignment w:val="auto"/>
              <w:rPr>
                <w:rFonts w:hint="eastAsia" w:ascii="宋体" w:hAnsi="宋体" w:eastAsia="宋体" w:cs="宋体"/>
                <w:b/>
                <w:bCs/>
                <w:color w:val="000000"/>
                <w:sz w:val="20"/>
                <w:szCs w:val="20"/>
              </w:rPr>
            </w:pPr>
            <w:r>
              <w:rPr>
                <w:rFonts w:hint="eastAsia" w:ascii="宋体" w:hAnsi="宋体" w:eastAsia="宋体" w:cs="宋体"/>
                <w:color w:val="000000"/>
                <w:sz w:val="20"/>
                <w:szCs w:val="20"/>
              </w:rPr>
              <w:t>（2）报价文件上法定代表人或其委托代理人的签字齐全，比选申请人的单位章盖章齐全，符合比选文件规定；</w:t>
            </w:r>
          </w:p>
          <w:p>
            <w:pPr>
              <w:keepNext w:val="0"/>
              <w:keepLines w:val="0"/>
              <w:pageBreakBefore w:val="0"/>
              <w:kinsoku/>
              <w:wordWrap/>
              <w:overflowPunct/>
              <w:topLinePunct w:val="0"/>
              <w:bidi w:val="0"/>
              <w:spacing w:line="240" w:lineRule="auto"/>
              <w:ind w:firstLine="0" w:firstLineChars="0"/>
              <w:jc w:val="both"/>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（3）同一比选申请人未提交两个以上的比选申请报价，不得提交选择性报价，也不得有调价函。</w:t>
            </w:r>
          </w:p>
          <w:p>
            <w:pPr>
              <w:pStyle w:val="2"/>
              <w:keepNext w:val="0"/>
              <w:keepLines w:val="0"/>
              <w:pageBreakBefore w:val="0"/>
              <w:kinsoku/>
              <w:wordWrap/>
              <w:overflowPunct/>
              <w:topLinePunct w:val="0"/>
              <w:bidi w:val="0"/>
              <w:spacing w:after="0" w:line="240" w:lineRule="auto"/>
              <w:ind w:left="0" w:leftChars="0" w:firstLine="0" w:firstLineChars="0"/>
              <w:jc w:val="both"/>
              <w:textAlignment w:val="auto"/>
              <w:rPr>
                <w:rFonts w:hint="eastAsia" w:ascii="宋体" w:hAnsi="宋体" w:eastAsia="宋体" w:cs="宋体"/>
                <w:color w:val="000000"/>
                <w:kern w:val="2"/>
                <w:sz w:val="20"/>
              </w:rPr>
            </w:pPr>
            <w:r>
              <w:rPr>
                <w:rFonts w:hint="eastAsia" w:ascii="宋体" w:hAnsi="宋体" w:eastAsia="宋体" w:cs="宋体"/>
                <w:color w:val="000000"/>
                <w:kern w:val="2"/>
                <w:sz w:val="20"/>
              </w:rPr>
              <w:t>（4）比选申请</w:t>
            </w:r>
            <w:r>
              <w:rPr>
                <w:rFonts w:hint="eastAsia" w:ascii="宋体" w:hAnsi="宋体" w:eastAsia="宋体" w:cs="宋体"/>
                <w:bCs/>
                <w:color w:val="000000"/>
                <w:kern w:val="2"/>
                <w:sz w:val="20"/>
              </w:rPr>
              <w:t>报价未超过比选文件设定的比选申请最高限价；</w:t>
            </w:r>
          </w:p>
          <w:p>
            <w:pPr>
              <w:pStyle w:val="2"/>
              <w:keepNext w:val="0"/>
              <w:keepLines w:val="0"/>
              <w:pageBreakBefore w:val="0"/>
              <w:kinsoku/>
              <w:wordWrap/>
              <w:overflowPunct/>
              <w:topLinePunct w:val="0"/>
              <w:bidi w:val="0"/>
              <w:spacing w:after="0" w:line="240" w:lineRule="auto"/>
              <w:ind w:left="0" w:leftChars="0" w:firstLine="0" w:firstLineChars="0"/>
              <w:jc w:val="both"/>
              <w:textAlignment w:val="auto"/>
              <w:rPr>
                <w:rFonts w:hint="eastAsia" w:ascii="宋体" w:hAnsi="宋体" w:eastAsia="宋体" w:cs="宋体"/>
                <w:sz w:val="20"/>
                <w:szCs w:val="20"/>
              </w:rPr>
            </w:pPr>
            <w:r>
              <w:rPr>
                <w:rFonts w:hint="eastAsia" w:ascii="宋体" w:hAnsi="宋体" w:eastAsia="宋体" w:cs="宋体"/>
                <w:color w:val="000000"/>
                <w:kern w:val="2"/>
                <w:sz w:val="20"/>
              </w:rPr>
              <w:t>（5）</w:t>
            </w:r>
            <w:r>
              <w:rPr>
                <w:rFonts w:hint="eastAsia" w:ascii="宋体" w:hAnsi="宋体" w:eastAsia="宋体" w:cs="宋体"/>
                <w:color w:val="000000"/>
                <w:kern w:val="2"/>
                <w:sz w:val="20"/>
                <w:lang w:val="en-US" w:eastAsia="zh-CN"/>
              </w:rPr>
              <w:t>报价文件</w:t>
            </w:r>
            <w:r>
              <w:rPr>
                <w:rFonts w:hint="eastAsia" w:ascii="宋体" w:hAnsi="宋体" w:eastAsia="宋体" w:cs="宋体"/>
                <w:color w:val="000000"/>
                <w:kern w:val="2"/>
                <w:sz w:val="20"/>
              </w:rPr>
              <w:t>未附有比选人不能接受的条件</w:t>
            </w:r>
            <w:r>
              <w:rPr>
                <w:rFonts w:hint="eastAsia" w:ascii="宋体" w:hAnsi="宋体" w:eastAsia="宋体" w:cs="宋体"/>
                <w:color w:val="000000"/>
                <w:kern w:val="2"/>
                <w:sz w:val="20"/>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22" w:hRule="atLeast"/>
        </w:trPr>
        <w:tc>
          <w:tcPr>
            <w:tcW w:w="1101"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2.1.2</w:t>
            </w:r>
          </w:p>
        </w:tc>
        <w:tc>
          <w:tcPr>
            <w:tcW w:w="1844"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资格评审标准</w:t>
            </w:r>
          </w:p>
        </w:tc>
        <w:tc>
          <w:tcPr>
            <w:tcW w:w="6190" w:type="dxa"/>
            <w:vAlign w:val="center"/>
          </w:tcPr>
          <w:p>
            <w:pPr>
              <w:adjustRightInd w:val="0"/>
              <w:snapToGrid w:val="0"/>
              <w:spacing w:line="360" w:lineRule="auto"/>
              <w:jc w:val="left"/>
              <w:rPr>
                <w:rFonts w:hint="eastAsia" w:ascii="宋体" w:hAnsi="宋体" w:eastAsia="宋体" w:cs="宋体"/>
                <w:sz w:val="20"/>
                <w:szCs w:val="20"/>
              </w:rPr>
            </w:pPr>
            <w:r>
              <w:rPr>
                <w:rFonts w:hint="eastAsia" w:ascii="宋体" w:hAnsi="宋体" w:eastAsia="宋体" w:cs="宋体"/>
                <w:sz w:val="20"/>
                <w:szCs w:val="20"/>
              </w:rPr>
              <w:t>（1）比选申请人具有独立法人资格，持有效营业执照、基本账户开户许可证或基本账户信息表；</w:t>
            </w:r>
          </w:p>
          <w:p>
            <w:pPr>
              <w:pStyle w:val="18"/>
              <w:adjustRightInd w:val="0"/>
              <w:snapToGrid w:val="0"/>
              <w:spacing w:line="360" w:lineRule="auto"/>
              <w:rPr>
                <w:rFonts w:hint="eastAsia" w:ascii="宋体" w:hAnsi="宋体" w:eastAsia="宋体" w:cs="宋体"/>
              </w:rPr>
            </w:pPr>
            <w:r>
              <w:rPr>
                <w:rFonts w:hint="eastAsia" w:ascii="宋体" w:hAnsi="宋体" w:eastAsia="宋体" w:cs="宋体"/>
              </w:rPr>
              <w:t>（2）比选申请人的类似项目业绩符合比选文件规定；</w:t>
            </w:r>
          </w:p>
          <w:p>
            <w:pPr>
              <w:pStyle w:val="18"/>
              <w:adjustRightInd w:val="0"/>
              <w:snapToGrid w:val="0"/>
              <w:spacing w:line="360" w:lineRule="auto"/>
              <w:rPr>
                <w:rFonts w:hint="eastAsia" w:ascii="宋体" w:hAnsi="宋体" w:eastAsia="宋体" w:cs="宋体"/>
              </w:rPr>
            </w:pPr>
            <w:r>
              <w:rPr>
                <w:rFonts w:hint="eastAsia" w:ascii="宋体" w:hAnsi="宋体" w:eastAsia="宋体" w:cs="宋体"/>
              </w:rPr>
              <w:t>（3）比选申请人的人员</w:t>
            </w:r>
            <w:r>
              <w:rPr>
                <w:rFonts w:hint="eastAsia" w:ascii="宋体" w:hAnsi="宋体" w:eastAsia="宋体" w:cs="宋体"/>
                <w:lang w:val="en-US" w:eastAsia="zh-CN"/>
              </w:rPr>
              <w:t>情况</w:t>
            </w:r>
            <w:r>
              <w:rPr>
                <w:rFonts w:hint="eastAsia" w:ascii="宋体" w:hAnsi="宋体" w:eastAsia="宋体" w:cs="宋体"/>
              </w:rPr>
              <w:t>符合比选文件规定；</w:t>
            </w:r>
          </w:p>
          <w:p>
            <w:pPr>
              <w:adjustRightInd w:val="0"/>
              <w:snapToGrid w:val="0"/>
              <w:spacing w:line="360" w:lineRule="auto"/>
              <w:rPr>
                <w:rFonts w:hint="eastAsia" w:ascii="宋体" w:hAnsi="宋体" w:eastAsia="宋体" w:cs="宋体"/>
                <w:sz w:val="20"/>
                <w:szCs w:val="20"/>
              </w:rPr>
            </w:pPr>
            <w:r>
              <w:rPr>
                <w:rFonts w:hint="eastAsia" w:ascii="宋体" w:hAnsi="宋体" w:eastAsia="宋体" w:cs="宋体"/>
                <w:sz w:val="20"/>
                <w:szCs w:val="20"/>
              </w:rPr>
              <w:t>（4）比选申请人的信誉符合比选文件规定；</w:t>
            </w:r>
          </w:p>
          <w:p>
            <w:pPr>
              <w:pStyle w:val="2"/>
              <w:ind w:firstLine="0" w:firstLineChars="0"/>
              <w:rPr>
                <w:rFonts w:hint="eastAsia" w:ascii="宋体" w:hAnsi="宋体" w:eastAsia="宋体" w:cs="宋体"/>
                <w:sz w:val="20"/>
              </w:rPr>
            </w:pPr>
            <w:r>
              <w:rPr>
                <w:rFonts w:hint="eastAsia" w:ascii="宋体" w:hAnsi="宋体" w:eastAsia="宋体" w:cs="宋体"/>
                <w:color w:val="000000"/>
                <w:sz w:val="20"/>
                <w:szCs w:val="20"/>
              </w:rPr>
              <w:t>（5）比选申请不存在第二章“比选申请人须知”前附表第3</w:t>
            </w:r>
            <w:r>
              <w:rPr>
                <w:rFonts w:hint="eastAsia" w:ascii="宋体" w:hAnsi="宋体" w:eastAsia="宋体" w:cs="宋体"/>
                <w:color w:val="000000"/>
                <w:sz w:val="20"/>
                <w:szCs w:val="20"/>
                <w:lang w:val="en-US" w:eastAsia="zh-CN"/>
              </w:rPr>
              <w:t>4</w:t>
            </w:r>
            <w:r>
              <w:rPr>
                <w:rFonts w:hint="eastAsia" w:ascii="宋体" w:hAnsi="宋体" w:eastAsia="宋体" w:cs="宋体"/>
                <w:color w:val="000000"/>
                <w:sz w:val="20"/>
                <w:szCs w:val="20"/>
              </w:rPr>
              <w:t>项规定的任何一种情形（按本项资格评审标准第4条信誉要求已评审的，此处不再评审）。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8" w:hRule="atLeast"/>
        </w:trPr>
        <w:tc>
          <w:tcPr>
            <w:tcW w:w="1101"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2.2.1</w:t>
            </w:r>
          </w:p>
        </w:tc>
        <w:tc>
          <w:tcPr>
            <w:tcW w:w="1844"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评分分值构成</w:t>
            </w:r>
          </w:p>
          <w:p>
            <w:pPr>
              <w:jc w:val="center"/>
              <w:rPr>
                <w:rFonts w:hint="eastAsia" w:ascii="宋体" w:hAnsi="宋体" w:eastAsia="宋体" w:cs="宋体"/>
                <w:sz w:val="20"/>
                <w:szCs w:val="20"/>
              </w:rPr>
            </w:pPr>
            <w:r>
              <w:rPr>
                <w:rFonts w:hint="eastAsia" w:ascii="宋体" w:hAnsi="宋体" w:eastAsia="宋体" w:cs="宋体"/>
                <w:sz w:val="20"/>
                <w:szCs w:val="20"/>
              </w:rPr>
              <w:t>（总分100分）</w:t>
            </w:r>
          </w:p>
        </w:tc>
        <w:tc>
          <w:tcPr>
            <w:tcW w:w="6190" w:type="dxa"/>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textAlignment w:val="auto"/>
              <w:rPr>
                <w:rFonts w:hint="eastAsia" w:ascii="宋体" w:hAnsi="宋体" w:eastAsia="宋体" w:cs="宋体"/>
                <w:sz w:val="20"/>
                <w:szCs w:val="20"/>
              </w:rPr>
            </w:pPr>
            <w:r>
              <w:rPr>
                <w:rFonts w:hint="eastAsia" w:ascii="宋体" w:hAnsi="宋体" w:eastAsia="宋体" w:cs="宋体"/>
                <w:sz w:val="20"/>
                <w:szCs w:val="20"/>
              </w:rPr>
              <w:t>一、第一个信封（商务及技术文件）评分分值构成（</w:t>
            </w:r>
            <w:r>
              <w:rPr>
                <w:rFonts w:hint="eastAsia" w:ascii="宋体" w:hAnsi="宋体" w:eastAsia="宋体" w:cs="宋体"/>
                <w:sz w:val="20"/>
                <w:szCs w:val="20"/>
                <w:lang w:val="en-US" w:eastAsia="zh-CN"/>
              </w:rPr>
              <w:t>9</w:t>
            </w:r>
            <w:r>
              <w:rPr>
                <w:rFonts w:hint="eastAsia" w:ascii="宋体" w:hAnsi="宋体" w:eastAsia="宋体" w:cs="宋体"/>
                <w:sz w:val="20"/>
                <w:szCs w:val="20"/>
              </w:rPr>
              <w:t>0分）：</w:t>
            </w:r>
          </w:p>
          <w:p>
            <w:pPr>
              <w:adjustRightInd w:val="0"/>
              <w:snapToGrid w:val="0"/>
              <w:spacing w:line="360" w:lineRule="auto"/>
              <w:jc w:val="left"/>
              <w:rPr>
                <w:rFonts w:hint="eastAsia" w:ascii="宋体" w:hAnsi="宋体" w:eastAsia="宋体" w:cs="宋体"/>
                <w:sz w:val="20"/>
                <w:szCs w:val="20"/>
              </w:rPr>
            </w:pPr>
            <w:r>
              <w:rPr>
                <w:rFonts w:hint="eastAsia" w:ascii="宋体" w:hAnsi="宋体" w:eastAsia="宋体" w:cs="宋体"/>
                <w:sz w:val="20"/>
                <w:szCs w:val="20"/>
              </w:rPr>
              <w:t>1．</w:t>
            </w:r>
            <w:r>
              <w:rPr>
                <w:rFonts w:hint="eastAsia" w:ascii="宋体" w:hAnsi="宋体" w:eastAsia="宋体" w:cs="宋体"/>
                <w:sz w:val="20"/>
                <w:szCs w:val="20"/>
                <w:lang w:val="en-US" w:eastAsia="zh-CN"/>
              </w:rPr>
              <w:t>商务部分A</w:t>
            </w:r>
            <w:r>
              <w:rPr>
                <w:rFonts w:hint="eastAsia" w:ascii="宋体" w:hAnsi="宋体" w:eastAsia="宋体" w:cs="宋体"/>
                <w:sz w:val="20"/>
                <w:szCs w:val="20"/>
              </w:rPr>
              <w:t>（总分50分）：</w:t>
            </w:r>
          </w:p>
          <w:p>
            <w:pPr>
              <w:adjustRightInd w:val="0"/>
              <w:snapToGrid w:val="0"/>
              <w:spacing w:line="360" w:lineRule="auto"/>
              <w:jc w:val="left"/>
              <w:rPr>
                <w:rFonts w:hint="eastAsia" w:ascii="宋体" w:hAnsi="宋体" w:eastAsia="宋体" w:cs="宋体"/>
                <w:sz w:val="20"/>
                <w:szCs w:val="20"/>
              </w:rPr>
            </w:pPr>
            <w:r>
              <w:rPr>
                <w:rFonts w:hint="eastAsia" w:ascii="宋体" w:hAnsi="宋体" w:eastAsia="宋体" w:cs="宋体"/>
                <w:sz w:val="20"/>
                <w:szCs w:val="20"/>
              </w:rPr>
              <w:t>（1）类似业绩：30分</w:t>
            </w:r>
          </w:p>
          <w:p>
            <w:pPr>
              <w:adjustRightInd w:val="0"/>
              <w:snapToGrid w:val="0"/>
              <w:spacing w:line="360" w:lineRule="auto"/>
              <w:jc w:val="left"/>
              <w:rPr>
                <w:rFonts w:hint="eastAsia" w:ascii="宋体" w:hAnsi="宋体" w:eastAsia="宋体" w:cs="宋体"/>
                <w:sz w:val="20"/>
                <w:szCs w:val="20"/>
              </w:rPr>
            </w:pPr>
            <w:r>
              <w:rPr>
                <w:rFonts w:hint="eastAsia" w:ascii="宋体" w:hAnsi="宋体" w:eastAsia="宋体" w:cs="宋体"/>
                <w:sz w:val="20"/>
                <w:szCs w:val="20"/>
              </w:rPr>
              <w:t>（2）技术能力：10分</w:t>
            </w:r>
          </w:p>
          <w:p>
            <w:pPr>
              <w:adjustRightInd w:val="0"/>
              <w:snapToGrid w:val="0"/>
              <w:spacing w:line="360" w:lineRule="auto"/>
              <w:jc w:val="left"/>
              <w:rPr>
                <w:rFonts w:hint="eastAsia" w:ascii="宋体" w:hAnsi="宋体" w:eastAsia="宋体" w:cs="宋体"/>
                <w:sz w:val="20"/>
                <w:szCs w:val="20"/>
              </w:rPr>
            </w:pPr>
            <w:r>
              <w:rPr>
                <w:rFonts w:hint="eastAsia" w:ascii="宋体" w:hAnsi="宋体" w:eastAsia="宋体" w:cs="宋体"/>
                <w:sz w:val="20"/>
                <w:szCs w:val="20"/>
              </w:rPr>
              <w:t>（3）团队配置：10分</w:t>
            </w:r>
          </w:p>
          <w:p>
            <w:pPr>
              <w:adjustRightInd w:val="0"/>
              <w:snapToGrid w:val="0"/>
              <w:spacing w:line="360" w:lineRule="auto"/>
              <w:jc w:val="left"/>
              <w:rPr>
                <w:rFonts w:hint="eastAsia" w:ascii="宋体" w:hAnsi="宋体" w:eastAsia="宋体" w:cs="宋体"/>
                <w:sz w:val="20"/>
                <w:szCs w:val="20"/>
              </w:rPr>
            </w:pPr>
            <w:r>
              <w:rPr>
                <w:rFonts w:hint="eastAsia" w:ascii="宋体" w:hAnsi="宋体" w:eastAsia="宋体" w:cs="宋体"/>
                <w:sz w:val="20"/>
                <w:szCs w:val="20"/>
              </w:rPr>
              <w:t>2．技术部分</w:t>
            </w:r>
            <w:r>
              <w:rPr>
                <w:rFonts w:hint="eastAsia" w:ascii="宋体" w:hAnsi="宋体" w:eastAsia="宋体" w:cs="宋体"/>
                <w:sz w:val="20"/>
                <w:szCs w:val="20"/>
                <w:lang w:val="en-US" w:eastAsia="zh-CN"/>
              </w:rPr>
              <w:t>B</w:t>
            </w:r>
            <w:r>
              <w:rPr>
                <w:rFonts w:hint="eastAsia" w:ascii="宋体" w:hAnsi="宋体" w:eastAsia="宋体" w:cs="宋体"/>
                <w:sz w:val="20"/>
                <w:szCs w:val="20"/>
              </w:rPr>
              <w:t>（总分40分）</w:t>
            </w:r>
          </w:p>
          <w:p>
            <w:pPr>
              <w:adjustRightInd w:val="0"/>
              <w:snapToGrid w:val="0"/>
              <w:spacing w:line="360"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二、第二个信封</w:t>
            </w:r>
            <w:r>
              <w:rPr>
                <w:rFonts w:hint="eastAsia" w:ascii="宋体" w:hAnsi="宋体" w:eastAsia="宋体" w:cs="宋体"/>
                <w:sz w:val="20"/>
                <w:szCs w:val="20"/>
              </w:rPr>
              <w:t>（报价文件）评分分值构成（</w:t>
            </w:r>
            <w:r>
              <w:rPr>
                <w:rFonts w:hint="eastAsia" w:ascii="宋体" w:hAnsi="宋体" w:eastAsia="宋体" w:cs="宋体"/>
                <w:sz w:val="20"/>
                <w:szCs w:val="20"/>
                <w:lang w:val="en-US" w:eastAsia="zh-CN"/>
              </w:rPr>
              <w:t>10</w:t>
            </w:r>
            <w:r>
              <w:rPr>
                <w:rFonts w:hint="eastAsia" w:ascii="宋体" w:hAnsi="宋体" w:eastAsia="宋体" w:cs="宋体"/>
                <w:sz w:val="20"/>
                <w:szCs w:val="20"/>
              </w:rPr>
              <w:t>分）</w:t>
            </w:r>
          </w:p>
          <w:p>
            <w:pPr>
              <w:adjustRightInd w:val="0"/>
              <w:snapToGrid w:val="0"/>
              <w:spacing w:line="360" w:lineRule="auto"/>
              <w:jc w:val="left"/>
              <w:rPr>
                <w:rFonts w:hint="eastAsia" w:ascii="宋体" w:hAnsi="宋体" w:eastAsia="宋体" w:cs="宋体"/>
                <w:sz w:val="20"/>
                <w:szCs w:val="20"/>
              </w:rPr>
            </w:pPr>
            <w:r>
              <w:rPr>
                <w:rFonts w:hint="eastAsia" w:ascii="宋体" w:hAnsi="宋体" w:eastAsia="宋体" w:cs="宋体"/>
                <w:sz w:val="20"/>
                <w:szCs w:val="20"/>
              </w:rPr>
              <w:t>3．报价</w:t>
            </w:r>
            <w:r>
              <w:rPr>
                <w:rFonts w:hint="eastAsia" w:ascii="宋体" w:hAnsi="宋体" w:eastAsia="宋体" w:cs="宋体"/>
                <w:sz w:val="20"/>
                <w:szCs w:val="20"/>
                <w:lang w:val="en-US" w:eastAsia="zh-CN"/>
              </w:rPr>
              <w:t>C</w:t>
            </w:r>
            <w:r>
              <w:rPr>
                <w:rFonts w:hint="eastAsia" w:ascii="宋体" w:hAnsi="宋体" w:eastAsia="宋体" w:cs="宋体"/>
                <w:sz w:val="20"/>
                <w:szCs w:val="20"/>
              </w:rPr>
              <w:t>（总分10分）</w:t>
            </w:r>
          </w:p>
          <w:p>
            <w:pPr>
              <w:pStyle w:val="2"/>
              <w:rPr>
                <w:rFonts w:hint="eastAsia" w:ascii="宋体" w:hAnsi="宋体" w:eastAsia="宋体" w:cs="宋体"/>
                <w:sz w:val="20"/>
              </w:rPr>
            </w:pPr>
            <w:r>
              <w:rPr>
                <w:rFonts w:hint="eastAsia" w:ascii="宋体" w:hAnsi="宋体" w:eastAsia="宋体" w:cs="宋体"/>
                <w:sz w:val="20"/>
              </w:rPr>
              <w:t>详见后附评分因素与权重分值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1101"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2.2.2</w:t>
            </w:r>
          </w:p>
        </w:tc>
        <w:tc>
          <w:tcPr>
            <w:tcW w:w="1844"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详细评分标准</w:t>
            </w:r>
          </w:p>
        </w:tc>
        <w:tc>
          <w:tcPr>
            <w:tcW w:w="6190" w:type="dxa"/>
            <w:vAlign w:val="center"/>
          </w:tcPr>
          <w:p>
            <w:pPr>
              <w:spacing w:line="360" w:lineRule="auto"/>
              <w:rPr>
                <w:rFonts w:hint="eastAsia" w:ascii="宋体" w:hAnsi="宋体" w:eastAsia="宋体" w:cs="宋体"/>
                <w:sz w:val="20"/>
                <w:szCs w:val="20"/>
              </w:rPr>
            </w:pPr>
            <w:r>
              <w:rPr>
                <w:rFonts w:hint="eastAsia" w:ascii="宋体" w:hAnsi="宋体" w:eastAsia="宋体" w:cs="宋体"/>
                <w:sz w:val="20"/>
                <w:szCs w:val="20"/>
              </w:rPr>
              <w:t>详见后附评分因素与权重分值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08" w:hRule="atLeast"/>
        </w:trPr>
        <w:tc>
          <w:tcPr>
            <w:tcW w:w="1101"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2.2.3</w:t>
            </w:r>
          </w:p>
        </w:tc>
        <w:tc>
          <w:tcPr>
            <w:tcW w:w="1844"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评标基准价计算方法</w:t>
            </w:r>
          </w:p>
        </w:tc>
        <w:tc>
          <w:tcPr>
            <w:tcW w:w="6190" w:type="dxa"/>
            <w:vAlign w:val="center"/>
          </w:tcPr>
          <w:p>
            <w:pPr>
              <w:spacing w:line="360" w:lineRule="exact"/>
              <w:rPr>
                <w:rFonts w:hint="eastAsia" w:ascii="宋体" w:hAnsi="宋体" w:eastAsia="宋体" w:cs="宋体"/>
                <w:sz w:val="20"/>
                <w:szCs w:val="20"/>
              </w:rPr>
            </w:pPr>
            <w:r>
              <w:rPr>
                <w:rFonts w:hint="eastAsia" w:ascii="宋体" w:hAnsi="宋体" w:eastAsia="宋体" w:cs="宋体"/>
                <w:sz w:val="20"/>
                <w:szCs w:val="20"/>
              </w:rPr>
              <w:t>（1）评标价的确定：评标价=通过初步评审的比选申请文件的比选申请函中填写的报价</w:t>
            </w:r>
          </w:p>
          <w:p>
            <w:pPr>
              <w:numPr>
                <w:ilvl w:val="-1"/>
                <w:numId w:val="0"/>
              </w:numPr>
              <w:spacing w:line="360" w:lineRule="exact"/>
              <w:rPr>
                <w:rFonts w:hint="eastAsia" w:ascii="宋体" w:hAnsi="宋体" w:eastAsia="宋体" w:cs="宋体"/>
                <w:sz w:val="20"/>
                <w:szCs w:val="20"/>
              </w:rPr>
            </w:pPr>
            <w:r>
              <w:rPr>
                <w:rFonts w:hint="eastAsia" w:ascii="宋体" w:hAnsi="宋体" w:eastAsia="宋体" w:cs="宋体"/>
                <w:sz w:val="20"/>
                <w:szCs w:val="20"/>
              </w:rPr>
              <w:t>（2）评标基准价的确定：</w:t>
            </w:r>
            <w:r>
              <w:rPr>
                <w:rFonts w:hint="eastAsia" w:ascii="宋体" w:hAnsi="宋体" w:eastAsia="宋体" w:cs="宋体"/>
                <w:sz w:val="20"/>
                <w:szCs w:val="20"/>
                <w:lang w:eastAsia="zh-CN"/>
              </w:rPr>
              <w:t>比选申请</w:t>
            </w:r>
            <w:r>
              <w:rPr>
                <w:rFonts w:hint="eastAsia" w:ascii="宋体" w:hAnsi="宋体" w:eastAsia="宋体" w:cs="宋体"/>
                <w:sz w:val="20"/>
                <w:szCs w:val="20"/>
              </w:rPr>
              <w:t>单位超过</w:t>
            </w:r>
            <w:r>
              <w:rPr>
                <w:rFonts w:hint="eastAsia" w:ascii="宋体" w:hAnsi="宋体" w:eastAsia="宋体" w:cs="宋体"/>
                <w:sz w:val="20"/>
                <w:szCs w:val="20"/>
                <w:lang w:val="en-US" w:eastAsia="zh-CN"/>
              </w:rPr>
              <w:t>10</w:t>
            </w:r>
            <w:r>
              <w:rPr>
                <w:rFonts w:hint="eastAsia" w:ascii="宋体" w:hAnsi="宋体" w:eastAsia="宋体" w:cs="宋体"/>
                <w:sz w:val="20"/>
                <w:szCs w:val="20"/>
              </w:rPr>
              <w:t>家（含</w:t>
            </w:r>
            <w:r>
              <w:rPr>
                <w:rFonts w:hint="eastAsia" w:ascii="宋体" w:hAnsi="宋体" w:eastAsia="宋体" w:cs="宋体"/>
                <w:sz w:val="20"/>
                <w:szCs w:val="20"/>
                <w:lang w:val="en-US" w:eastAsia="zh-CN"/>
              </w:rPr>
              <w:t>10</w:t>
            </w:r>
            <w:r>
              <w:rPr>
                <w:rFonts w:hint="eastAsia" w:ascii="宋体" w:hAnsi="宋体" w:eastAsia="宋体" w:cs="宋体"/>
                <w:sz w:val="20"/>
                <w:szCs w:val="20"/>
              </w:rPr>
              <w:t>家），去掉一个最高报价，去掉一个最低报价，其余比选申请人的有效报价平均值作为比选报价的评标基准价；</w:t>
            </w:r>
            <w:r>
              <w:rPr>
                <w:rFonts w:hint="eastAsia" w:ascii="宋体" w:hAnsi="宋体" w:eastAsia="宋体" w:cs="宋体"/>
                <w:sz w:val="20"/>
                <w:szCs w:val="20"/>
                <w:lang w:eastAsia="zh-CN"/>
              </w:rPr>
              <w:t>比选申请</w:t>
            </w:r>
            <w:r>
              <w:rPr>
                <w:rFonts w:hint="eastAsia" w:ascii="宋体" w:hAnsi="宋体" w:eastAsia="宋体" w:cs="宋体"/>
                <w:sz w:val="20"/>
                <w:szCs w:val="20"/>
              </w:rPr>
              <w:t>单位小于</w:t>
            </w:r>
            <w:r>
              <w:rPr>
                <w:rFonts w:hint="eastAsia" w:ascii="宋体" w:hAnsi="宋体" w:eastAsia="宋体" w:cs="宋体"/>
                <w:sz w:val="20"/>
                <w:szCs w:val="20"/>
                <w:lang w:val="en-US" w:eastAsia="zh-CN"/>
              </w:rPr>
              <w:t>10</w:t>
            </w:r>
            <w:r>
              <w:rPr>
                <w:rFonts w:hint="eastAsia" w:ascii="宋体" w:hAnsi="宋体" w:eastAsia="宋体" w:cs="宋体"/>
                <w:sz w:val="20"/>
                <w:szCs w:val="20"/>
              </w:rPr>
              <w:t>家，取比选申请人的有效报价平均值为比选报价的评标基准价。</w:t>
            </w:r>
          </w:p>
          <w:p>
            <w:pPr>
              <w:kinsoku w:val="0"/>
              <w:overflowPunct w:val="0"/>
              <w:adjustRightInd w:val="0"/>
              <w:spacing w:line="360" w:lineRule="exact"/>
              <w:rPr>
                <w:rFonts w:hint="eastAsia" w:ascii="宋体" w:hAnsi="宋体" w:eastAsia="宋体" w:cs="宋体"/>
                <w:sz w:val="20"/>
                <w:szCs w:val="20"/>
                <w:lang w:eastAsia="zh-CN"/>
              </w:rPr>
            </w:pPr>
            <w:r>
              <w:rPr>
                <w:rFonts w:hint="eastAsia" w:ascii="宋体" w:hAnsi="宋体" w:eastAsia="宋体" w:cs="宋体"/>
                <w:sz w:val="20"/>
                <w:szCs w:val="20"/>
              </w:rPr>
              <w:t>（3）比选申请报价平均值的计算</w:t>
            </w:r>
            <w:r>
              <w:rPr>
                <w:rFonts w:hint="eastAsia" w:ascii="宋体" w:hAnsi="宋体" w:eastAsia="宋体" w:cs="宋体"/>
                <w:sz w:val="20"/>
                <w:szCs w:val="20"/>
                <w:lang w:eastAsia="zh-CN"/>
              </w:rPr>
              <w:t>：</w:t>
            </w:r>
          </w:p>
          <w:p>
            <w:pPr>
              <w:spacing w:line="36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所有参与评标基准价计算的有效评标价的算术平均值即为比选申请报价平均值</w:t>
            </w:r>
          </w:p>
          <w:p>
            <w:pPr>
              <w:spacing w:line="360" w:lineRule="exact"/>
              <w:rPr>
                <w:rFonts w:hint="eastAsia" w:ascii="宋体" w:hAnsi="宋体" w:eastAsia="宋体" w:cs="宋体"/>
                <w:sz w:val="20"/>
                <w:szCs w:val="20"/>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4</w:t>
            </w:r>
            <w:r>
              <w:rPr>
                <w:rFonts w:hint="eastAsia" w:ascii="宋体" w:hAnsi="宋体" w:eastAsia="宋体" w:cs="宋体"/>
                <w:sz w:val="20"/>
                <w:szCs w:val="20"/>
                <w:lang w:eastAsia="zh-CN"/>
              </w:rPr>
              <w:t>）</w:t>
            </w:r>
            <w:r>
              <w:rPr>
                <w:rFonts w:hint="eastAsia" w:ascii="宋体" w:hAnsi="宋体" w:eastAsia="宋体" w:cs="宋体"/>
                <w:sz w:val="20"/>
                <w:szCs w:val="20"/>
              </w:rPr>
              <w:t>评标价不参</w:t>
            </w:r>
            <w:r>
              <w:rPr>
                <w:rFonts w:hint="eastAsia" w:ascii="宋体" w:hAnsi="宋体" w:eastAsia="宋体" w:cs="宋体"/>
                <w:sz w:val="20"/>
                <w:szCs w:val="20"/>
                <w:lang w:val="en-US" w:eastAsia="zh-CN"/>
              </w:rPr>
              <w:t>与</w:t>
            </w:r>
            <w:r>
              <w:rPr>
                <w:rFonts w:hint="eastAsia" w:ascii="宋体" w:hAnsi="宋体" w:eastAsia="宋体" w:cs="宋体"/>
                <w:sz w:val="20"/>
                <w:szCs w:val="20"/>
              </w:rPr>
              <w:t>评标基准价计算的情形：</w:t>
            </w:r>
          </w:p>
          <w:p>
            <w:pPr>
              <w:spacing w:line="360" w:lineRule="exact"/>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 1 \* GB3 </w:instrText>
            </w:r>
            <w:r>
              <w:rPr>
                <w:rFonts w:hint="eastAsia" w:ascii="宋体" w:hAnsi="宋体" w:eastAsia="宋体" w:cs="宋体"/>
                <w:sz w:val="20"/>
                <w:szCs w:val="20"/>
              </w:rPr>
              <w:fldChar w:fldCharType="separate"/>
            </w:r>
            <w:r>
              <w:rPr>
                <w:rFonts w:hint="eastAsia" w:ascii="宋体" w:hAnsi="宋体" w:eastAsia="宋体" w:cs="宋体"/>
                <w:sz w:val="20"/>
                <w:szCs w:val="20"/>
              </w:rPr>
              <w:t>①</w:t>
            </w:r>
            <w:r>
              <w:rPr>
                <w:rFonts w:hint="eastAsia" w:ascii="宋体" w:hAnsi="宋体" w:eastAsia="宋体" w:cs="宋体"/>
                <w:sz w:val="20"/>
                <w:szCs w:val="20"/>
              </w:rPr>
              <w:fldChar w:fldCharType="end"/>
            </w:r>
            <w:r>
              <w:rPr>
                <w:rFonts w:hint="eastAsia" w:ascii="宋体" w:hAnsi="宋体" w:eastAsia="宋体" w:cs="宋体"/>
                <w:sz w:val="20"/>
                <w:szCs w:val="20"/>
              </w:rPr>
              <w:t>未在比选申请函上填写比选申请投报价；</w:t>
            </w:r>
          </w:p>
          <w:p>
            <w:pPr>
              <w:spacing w:line="360" w:lineRule="exact"/>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 2 \* GB3 </w:instrText>
            </w:r>
            <w:r>
              <w:rPr>
                <w:rFonts w:hint="eastAsia" w:ascii="宋体" w:hAnsi="宋体" w:eastAsia="宋体" w:cs="宋体"/>
                <w:sz w:val="20"/>
                <w:szCs w:val="20"/>
              </w:rPr>
              <w:fldChar w:fldCharType="separate"/>
            </w:r>
            <w:r>
              <w:rPr>
                <w:rFonts w:hint="eastAsia" w:ascii="宋体" w:hAnsi="宋体" w:eastAsia="宋体" w:cs="宋体"/>
                <w:sz w:val="20"/>
                <w:szCs w:val="20"/>
              </w:rPr>
              <w:t>②</w:t>
            </w:r>
            <w:r>
              <w:rPr>
                <w:rFonts w:hint="eastAsia" w:ascii="宋体" w:hAnsi="宋体" w:eastAsia="宋体" w:cs="宋体"/>
                <w:sz w:val="20"/>
                <w:szCs w:val="20"/>
              </w:rPr>
              <w:fldChar w:fldCharType="end"/>
            </w:r>
            <w:r>
              <w:rPr>
                <w:rFonts w:hint="eastAsia" w:ascii="宋体" w:hAnsi="宋体" w:eastAsia="宋体" w:cs="宋体"/>
                <w:sz w:val="20"/>
                <w:szCs w:val="20"/>
              </w:rPr>
              <w:t>总报价超出比选人公布的最高比选申请限价；</w:t>
            </w:r>
          </w:p>
          <w:p>
            <w:pPr>
              <w:spacing w:line="360" w:lineRule="exact"/>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 3 \* GB3 </w:instrText>
            </w:r>
            <w:r>
              <w:rPr>
                <w:rFonts w:hint="eastAsia" w:ascii="宋体" w:hAnsi="宋体" w:eastAsia="宋体" w:cs="宋体"/>
                <w:sz w:val="20"/>
                <w:szCs w:val="20"/>
              </w:rPr>
              <w:fldChar w:fldCharType="separate"/>
            </w:r>
            <w:r>
              <w:rPr>
                <w:rFonts w:hint="eastAsia" w:ascii="宋体" w:hAnsi="宋体" w:eastAsia="宋体" w:cs="宋体"/>
                <w:sz w:val="20"/>
                <w:szCs w:val="20"/>
              </w:rPr>
              <w:t>③</w:t>
            </w:r>
            <w:r>
              <w:rPr>
                <w:rFonts w:hint="eastAsia" w:ascii="宋体" w:hAnsi="宋体" w:eastAsia="宋体" w:cs="宋体"/>
                <w:sz w:val="20"/>
                <w:szCs w:val="20"/>
              </w:rPr>
              <w:fldChar w:fldCharType="end"/>
            </w:r>
            <w:r>
              <w:rPr>
                <w:rFonts w:hint="eastAsia" w:ascii="宋体" w:hAnsi="宋体" w:eastAsia="宋体" w:cs="宋体"/>
                <w:sz w:val="20"/>
                <w:szCs w:val="20"/>
              </w:rPr>
              <w:t>总报价无法确定具体数值；</w:t>
            </w:r>
          </w:p>
          <w:p>
            <w:pPr>
              <w:spacing w:line="360" w:lineRule="exact"/>
              <w:ind w:firstLine="200" w:firstLineChars="100"/>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 4 \* GB3 </w:instrText>
            </w:r>
            <w:r>
              <w:rPr>
                <w:rFonts w:hint="eastAsia" w:ascii="宋体" w:hAnsi="宋体" w:eastAsia="宋体" w:cs="宋体"/>
                <w:sz w:val="20"/>
                <w:szCs w:val="20"/>
              </w:rPr>
              <w:fldChar w:fldCharType="separate"/>
            </w:r>
            <w:r>
              <w:rPr>
                <w:rFonts w:hint="eastAsia" w:ascii="宋体" w:hAnsi="宋体" w:eastAsia="宋体" w:cs="宋体"/>
                <w:sz w:val="20"/>
                <w:szCs w:val="20"/>
              </w:rPr>
              <w:t>④</w:t>
            </w:r>
            <w:r>
              <w:rPr>
                <w:rFonts w:hint="eastAsia" w:ascii="宋体" w:hAnsi="宋体" w:eastAsia="宋体" w:cs="宋体"/>
                <w:sz w:val="20"/>
                <w:szCs w:val="20"/>
              </w:rPr>
              <w:fldChar w:fldCharType="end"/>
            </w:r>
            <w:r>
              <w:rPr>
                <w:rFonts w:hint="eastAsia" w:ascii="宋体" w:hAnsi="宋体" w:eastAsia="宋体" w:cs="宋体"/>
                <w:sz w:val="20"/>
                <w:szCs w:val="20"/>
              </w:rPr>
              <w:t>比选申请报价低于比选人公布的最高比选申请限价的</w:t>
            </w:r>
            <w:r>
              <w:rPr>
                <w:rFonts w:hint="eastAsia" w:ascii="宋体" w:hAnsi="宋体" w:eastAsia="宋体" w:cs="宋体"/>
                <w:sz w:val="20"/>
                <w:szCs w:val="20"/>
                <w:lang w:val="en-US" w:eastAsia="zh-CN"/>
              </w:rPr>
              <w:t>85</w:t>
            </w:r>
            <w:r>
              <w:rPr>
                <w:rFonts w:hint="eastAsia" w:ascii="宋体" w:hAnsi="宋体" w:eastAsia="宋体" w:cs="宋体"/>
                <w:sz w:val="20"/>
                <w:szCs w:val="20"/>
              </w:rPr>
              <w:t>%（不含</w:t>
            </w:r>
            <w:r>
              <w:rPr>
                <w:rFonts w:hint="eastAsia" w:ascii="宋体" w:hAnsi="宋体" w:eastAsia="宋体" w:cs="宋体"/>
                <w:sz w:val="20"/>
                <w:szCs w:val="20"/>
                <w:lang w:val="en-US" w:eastAsia="zh-CN"/>
              </w:rPr>
              <w:t>85</w:t>
            </w:r>
            <w:r>
              <w:rPr>
                <w:rFonts w:hint="eastAsia" w:ascii="宋体" w:hAnsi="宋体" w:eastAsia="宋体" w:cs="宋体"/>
                <w:sz w:val="20"/>
                <w:szCs w:val="20"/>
              </w:rPr>
              <w:t>%）；</w:t>
            </w:r>
          </w:p>
          <w:p>
            <w:pPr>
              <w:spacing w:line="36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 5 \* GB3 </w:instrText>
            </w:r>
            <w:r>
              <w:rPr>
                <w:rFonts w:hint="eastAsia" w:ascii="宋体" w:hAnsi="宋体" w:eastAsia="宋体" w:cs="宋体"/>
                <w:sz w:val="20"/>
                <w:szCs w:val="20"/>
              </w:rPr>
              <w:fldChar w:fldCharType="separate"/>
            </w:r>
            <w:r>
              <w:rPr>
                <w:rFonts w:hint="eastAsia" w:ascii="宋体" w:hAnsi="宋体" w:eastAsia="宋体" w:cs="宋体"/>
                <w:sz w:val="20"/>
                <w:szCs w:val="20"/>
              </w:rPr>
              <w:t>⑤</w:t>
            </w:r>
            <w:r>
              <w:rPr>
                <w:rFonts w:hint="eastAsia" w:ascii="宋体" w:hAnsi="宋体" w:eastAsia="宋体" w:cs="宋体"/>
                <w:sz w:val="20"/>
                <w:szCs w:val="20"/>
              </w:rPr>
              <w:fldChar w:fldCharType="end"/>
            </w:r>
            <w:r>
              <w:rPr>
                <w:rFonts w:hint="eastAsia" w:ascii="宋体" w:hAnsi="宋体" w:eastAsia="宋体" w:cs="宋体"/>
                <w:sz w:val="20"/>
                <w:szCs w:val="20"/>
              </w:rPr>
              <w:t>其他情形：当所有比选申请总报价均低于最高比选申请限价的</w:t>
            </w:r>
            <w:r>
              <w:rPr>
                <w:rFonts w:hint="eastAsia" w:ascii="宋体" w:hAnsi="宋体" w:eastAsia="宋体" w:cs="宋体"/>
                <w:sz w:val="20"/>
                <w:szCs w:val="20"/>
                <w:lang w:val="en-US" w:eastAsia="zh-CN"/>
              </w:rPr>
              <w:t>85</w:t>
            </w:r>
            <w:r>
              <w:rPr>
                <w:rFonts w:hint="eastAsia" w:ascii="宋体" w:hAnsi="宋体" w:eastAsia="宋体" w:cs="宋体"/>
                <w:sz w:val="20"/>
                <w:szCs w:val="20"/>
              </w:rPr>
              <w:t>%，按照标段最高比选申请限价的</w:t>
            </w:r>
            <w:r>
              <w:rPr>
                <w:rFonts w:hint="eastAsia" w:ascii="宋体" w:hAnsi="宋体" w:eastAsia="宋体" w:cs="宋体"/>
                <w:sz w:val="20"/>
                <w:szCs w:val="20"/>
                <w:lang w:val="en-US" w:eastAsia="zh-CN"/>
              </w:rPr>
              <w:t>85</w:t>
            </w:r>
            <w:r>
              <w:rPr>
                <w:rFonts w:hint="eastAsia" w:ascii="宋体" w:hAnsi="宋体" w:eastAsia="宋体" w:cs="宋体"/>
                <w:sz w:val="20"/>
                <w:szCs w:val="20"/>
              </w:rPr>
              <w:t>%作为评标基准价。</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00" w:firstLineChars="200"/>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评标基准价按以上规则计算后在第二个信封开标现场公布，如果比选申请人认为评标基准价计算有误，有权在开标现场提出，经监督人当场核实确认后，可重新计算和宣布评标基准价。</w:t>
            </w:r>
          </w:p>
          <w:p>
            <w:pPr>
              <w:numPr>
                <w:ilvl w:val="-1"/>
                <w:numId w:val="0"/>
              </w:numPr>
              <w:spacing w:line="360" w:lineRule="exact"/>
              <w:rPr>
                <w:rFonts w:hint="eastAsia" w:ascii="宋体" w:hAnsi="宋体" w:eastAsia="宋体" w:cs="宋体"/>
                <w:sz w:val="20"/>
                <w:szCs w:val="20"/>
              </w:rPr>
            </w:pP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lang w:val="en-US" w:eastAsia="zh-CN"/>
              </w:rPr>
              <w:t>5</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在评标过程中，评标委员会应对比选人开标时计算的评标基准价进行复核，存在计算错误的应予以修正并在评标报告中作出说明。除开标时计算错误外，确认后的评标基准价不因第二个信封评审否决比选申请而改变，也不因比选人和比选申请人当事人异议、投诉以及其它任何情形而改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3" w:hRule="atLeast"/>
        </w:trPr>
        <w:tc>
          <w:tcPr>
            <w:tcW w:w="1101" w:type="dxa"/>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z w:val="20"/>
                <w:szCs w:val="20"/>
              </w:rPr>
              <w:t>2.2.4</w:t>
            </w:r>
          </w:p>
        </w:tc>
        <w:tc>
          <w:tcPr>
            <w:tcW w:w="1844" w:type="dxa"/>
            <w:vAlign w:val="center"/>
          </w:tcPr>
          <w:p>
            <w:pPr>
              <w:keepNext w:val="0"/>
              <w:keepLines w:val="0"/>
              <w:pageBreakBefore w:val="0"/>
              <w:kinsoku/>
              <w:wordWrap/>
              <w:overflowPunct/>
              <w:topLinePunct w:val="0"/>
              <w:bidi w:val="0"/>
              <w:spacing w:line="240" w:lineRule="auto"/>
              <w:ind w:firstLine="0" w:firstLineChars="0"/>
              <w:jc w:val="both"/>
              <w:textAlignment w:val="auto"/>
              <w:rPr>
                <w:rFonts w:hint="eastAsia" w:ascii="宋体" w:hAnsi="宋体" w:eastAsia="宋体" w:cs="宋体"/>
                <w:sz w:val="20"/>
                <w:szCs w:val="20"/>
              </w:rPr>
            </w:pPr>
            <w:r>
              <w:rPr>
                <w:rFonts w:hint="eastAsia" w:ascii="宋体" w:hAnsi="宋体" w:eastAsia="宋体" w:cs="宋体"/>
                <w:sz w:val="20"/>
                <w:szCs w:val="20"/>
              </w:rPr>
              <w:t>评标价的偏差率计算公式</w:t>
            </w:r>
          </w:p>
        </w:tc>
        <w:tc>
          <w:tcPr>
            <w:tcW w:w="6190" w:type="dxa"/>
            <w:vAlign w:val="center"/>
          </w:tcPr>
          <w:p>
            <w:pPr>
              <w:numPr>
                <w:ins w:id="0" w:author="孙强" w:date="2025-09-23T10:52:02Z"/>
              </w:numPr>
              <w:ind w:firstLine="0" w:firstLineChars="0"/>
              <w:rPr>
                <w:rFonts w:hint="eastAsia" w:ascii="宋体" w:hAnsi="宋体" w:eastAsia="宋体" w:cs="宋体"/>
                <w:color w:val="000000"/>
                <w:sz w:val="20"/>
                <w:szCs w:val="20"/>
              </w:rPr>
            </w:pPr>
            <w:r>
              <w:rPr>
                <w:rFonts w:hint="eastAsia" w:ascii="宋体" w:hAnsi="宋体" w:eastAsia="宋体" w:cs="宋体"/>
                <w:sz w:val="20"/>
                <w:szCs w:val="20"/>
              </w:rPr>
              <w:t>偏差率=100%×|（比选申请人评标价－评标基准价）|/评标基准价，偏差率保留2位小数(形如6.01%，小数点后第三位“四舍五入”)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3" w:hRule="atLeast"/>
        </w:trPr>
        <w:tc>
          <w:tcPr>
            <w:tcW w:w="1101" w:type="dxa"/>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3.1</w:t>
            </w:r>
          </w:p>
          <w:p>
            <w:pPr>
              <w:keepNext w:val="0"/>
              <w:keepLines w:val="0"/>
              <w:pageBreakBefore w:val="0"/>
              <w:kinsoku/>
              <w:wordWrap/>
              <w:overflowPunct/>
              <w:topLinePunct w:val="0"/>
              <w:bidi w:val="0"/>
              <w:spacing w:line="240" w:lineRule="auto"/>
              <w:ind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第一个信封初步评审</w:t>
            </w:r>
          </w:p>
        </w:tc>
        <w:tc>
          <w:tcPr>
            <w:tcW w:w="1844" w:type="dxa"/>
            <w:vAlign w:val="center"/>
          </w:tcPr>
          <w:p>
            <w:pPr>
              <w:keepNext w:val="0"/>
              <w:keepLines w:val="0"/>
              <w:pageBreakBefore w:val="0"/>
              <w:kinsoku/>
              <w:wordWrap/>
              <w:overflowPunct/>
              <w:topLinePunct w:val="0"/>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z w:val="20"/>
                <w:szCs w:val="20"/>
              </w:rPr>
              <w:t>3.1.1</w:t>
            </w:r>
          </w:p>
        </w:tc>
        <w:tc>
          <w:tcPr>
            <w:tcW w:w="6190" w:type="dxa"/>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（1）评标委员会依据本章第2.1.1项、第2.1.2项、第2.1.3项规定的标准对比选申请文件第一个信封（商务及技术文件）进行初步评审。有一项不符合评审标准的，评标委员会应否决其比选申请。</w:t>
            </w:r>
          </w:p>
          <w:p>
            <w:pPr>
              <w:keepNext w:val="0"/>
              <w:keepLines w:val="0"/>
              <w:pageBreakBefore w:val="0"/>
              <w:kinsoku/>
              <w:wordWrap/>
              <w:overflowPunct/>
              <w:topLinePunct w:val="0"/>
              <w:bidi w:val="0"/>
              <w:adjustRightInd w:val="0"/>
              <w:snapToGrid w:val="0"/>
              <w:spacing w:line="240" w:lineRule="auto"/>
              <w:ind w:left="0" w:leftChars="0" w:firstLine="0" w:firstLineChars="0"/>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2）通过第一信封商务文件和技术文件评审的比选申请人仅有2个的，评标委员会可以否决全部比选申请人；未否决全部比选申请的，评标委员会应当在评标报告中阐明理由，比选人应当按照第二章“比选申请人须知”前附表第2</w:t>
            </w:r>
            <w:r>
              <w:rPr>
                <w:rFonts w:hint="eastAsia" w:ascii="宋体" w:hAnsi="宋体" w:eastAsia="宋体" w:cs="宋体"/>
                <w:color w:val="000000"/>
                <w:sz w:val="20"/>
                <w:szCs w:val="20"/>
                <w:lang w:val="en-US" w:eastAsia="zh-CN"/>
              </w:rPr>
              <w:t>5</w:t>
            </w:r>
            <w:r>
              <w:rPr>
                <w:rFonts w:hint="eastAsia" w:ascii="宋体" w:hAnsi="宋体" w:eastAsia="宋体" w:cs="宋体"/>
                <w:color w:val="000000"/>
                <w:sz w:val="20"/>
                <w:szCs w:val="20"/>
              </w:rPr>
              <w:t>.3项规定的程序进行第二信封报价文件开标，但评标委员会在进行报价文件评审时仍有权否决全部比选申请；评标委员会未在报价文件评审时否决全部比选申请的，应当在评标报告中阐明理由并推荐中选候选人。</w:t>
            </w:r>
          </w:p>
          <w:p>
            <w:pPr>
              <w:keepNext w:val="0"/>
              <w:keepLines w:val="0"/>
              <w:pageBreakBefore w:val="0"/>
              <w:kinsoku/>
              <w:wordWrap/>
              <w:overflowPunct/>
              <w:topLinePunct w:val="0"/>
              <w:bidi w:val="0"/>
              <w:spacing w:line="240" w:lineRule="auto"/>
              <w:ind w:firstLine="0" w:firstLineChars="0"/>
              <w:textAlignment w:val="auto"/>
              <w:rPr>
                <w:rFonts w:hint="eastAsia" w:ascii="宋体" w:hAnsi="宋体" w:eastAsia="宋体" w:cs="宋体"/>
                <w:sz w:val="20"/>
                <w:szCs w:val="20"/>
              </w:rPr>
            </w:pPr>
            <w:r>
              <w:rPr>
                <w:rFonts w:hint="eastAsia" w:ascii="宋体" w:hAnsi="宋体" w:eastAsia="宋体" w:cs="宋体"/>
                <w:color w:val="000000"/>
                <w:sz w:val="20"/>
                <w:szCs w:val="20"/>
              </w:rPr>
              <w:t>（3）当通过第一个信封商务文件和技术文件评审的比选申请人仅有1家时，评标委员会应否决其比选申请。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3" w:hRule="atLeast"/>
        </w:trPr>
        <w:tc>
          <w:tcPr>
            <w:tcW w:w="1101" w:type="dxa"/>
            <w:vMerge w:val="restart"/>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3.2</w:t>
            </w:r>
          </w:p>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第一个信封详细评审</w:t>
            </w:r>
          </w:p>
        </w:tc>
        <w:tc>
          <w:tcPr>
            <w:tcW w:w="1844" w:type="dxa"/>
            <w:vAlign w:val="center"/>
          </w:tcPr>
          <w:p>
            <w:pPr>
              <w:keepNext w:val="0"/>
              <w:keepLines w:val="0"/>
              <w:pageBreakBefore w:val="0"/>
              <w:kinsoku/>
              <w:wordWrap/>
              <w:overflowPunct/>
              <w:topLinePunct w:val="0"/>
              <w:bidi w:val="0"/>
              <w:spacing w:line="240" w:lineRule="auto"/>
              <w:ind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3.2.1</w:t>
            </w:r>
          </w:p>
        </w:tc>
        <w:tc>
          <w:tcPr>
            <w:tcW w:w="6190" w:type="dxa"/>
            <w:vAlign w:val="center"/>
          </w:tcPr>
          <w:p>
            <w:pPr>
              <w:keepNext w:val="0"/>
              <w:keepLines w:val="0"/>
              <w:pageBreakBefore w:val="0"/>
              <w:kinsoku/>
              <w:wordWrap/>
              <w:overflowPunct/>
              <w:topLinePunct w:val="0"/>
              <w:bidi w:val="0"/>
              <w:adjustRightInd w:val="0"/>
              <w:snapToGrid w:val="0"/>
              <w:spacing w:line="240" w:lineRule="auto"/>
              <w:ind w:firstLine="0"/>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（1）按本章</w:t>
            </w:r>
            <w:r>
              <w:rPr>
                <w:rFonts w:hint="eastAsia" w:ascii="宋体" w:hAnsi="宋体" w:eastAsia="宋体" w:cs="宋体"/>
                <w:sz w:val="20"/>
                <w:szCs w:val="20"/>
              </w:rPr>
              <w:t>详细评审标准——商务部分规定</w:t>
            </w:r>
            <w:r>
              <w:rPr>
                <w:rFonts w:hint="eastAsia" w:ascii="宋体" w:hAnsi="宋体" w:eastAsia="宋体" w:cs="宋体"/>
                <w:color w:val="000000"/>
                <w:sz w:val="20"/>
                <w:szCs w:val="20"/>
              </w:rPr>
              <w:t>的评审因素和分值对商务部分计算出得分A；</w:t>
            </w:r>
          </w:p>
          <w:p>
            <w:pPr>
              <w:keepNext w:val="0"/>
              <w:keepLines w:val="0"/>
              <w:pageBreakBefore w:val="0"/>
              <w:kinsoku/>
              <w:wordWrap/>
              <w:overflowPunct/>
              <w:topLinePunct w:val="0"/>
              <w:bidi w:val="0"/>
              <w:adjustRightInd w:val="0"/>
              <w:snapToGrid w:val="0"/>
              <w:spacing w:line="240" w:lineRule="auto"/>
              <w:ind w:firstLine="0" w:firstLineChars="0"/>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（2）按本章</w:t>
            </w:r>
            <w:r>
              <w:rPr>
                <w:rFonts w:hint="eastAsia" w:ascii="宋体" w:hAnsi="宋体" w:eastAsia="宋体" w:cs="宋体"/>
                <w:sz w:val="20"/>
                <w:szCs w:val="20"/>
              </w:rPr>
              <w:t>详细评审标准——技术部分</w:t>
            </w:r>
            <w:r>
              <w:rPr>
                <w:rFonts w:hint="eastAsia" w:ascii="宋体" w:hAnsi="宋体" w:eastAsia="宋体" w:cs="宋体"/>
                <w:color w:val="000000"/>
                <w:sz w:val="20"/>
                <w:szCs w:val="20"/>
              </w:rPr>
              <w:t>规定的评审因素和分值对技术部分计算出得分B；</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8" w:hRule="atLeast"/>
        </w:trPr>
        <w:tc>
          <w:tcPr>
            <w:tcW w:w="1101" w:type="dxa"/>
            <w:vMerge w:val="continue"/>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color w:val="000000"/>
                <w:sz w:val="20"/>
                <w:szCs w:val="20"/>
              </w:rPr>
            </w:pPr>
          </w:p>
        </w:tc>
        <w:tc>
          <w:tcPr>
            <w:tcW w:w="1844" w:type="dxa"/>
            <w:vAlign w:val="center"/>
          </w:tcPr>
          <w:p>
            <w:pPr>
              <w:keepNext w:val="0"/>
              <w:keepLines w:val="0"/>
              <w:pageBreakBefore w:val="0"/>
              <w:kinsoku/>
              <w:wordWrap/>
              <w:overflowPunct/>
              <w:topLinePunct w:val="0"/>
              <w:bidi w:val="0"/>
              <w:spacing w:line="240" w:lineRule="auto"/>
              <w:ind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3.2.2</w:t>
            </w:r>
          </w:p>
        </w:tc>
        <w:tc>
          <w:tcPr>
            <w:tcW w:w="6190" w:type="dxa"/>
            <w:vAlign w:val="center"/>
          </w:tcPr>
          <w:p>
            <w:pPr>
              <w:keepNext w:val="0"/>
              <w:keepLines w:val="0"/>
              <w:pageBreakBefore w:val="0"/>
              <w:kinsoku/>
              <w:wordWrap/>
              <w:overflowPunct/>
              <w:topLinePunct w:val="0"/>
              <w:bidi w:val="0"/>
              <w:adjustRightInd w:val="0"/>
              <w:snapToGrid w:val="0"/>
              <w:spacing w:line="240" w:lineRule="auto"/>
              <w:ind w:firstLine="420" w:firstLineChars="0"/>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比选申请人的商务和技术得分分值计算“四舍五入”至少保留小数点后两位。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8" w:hRule="atLeast"/>
        </w:trPr>
        <w:tc>
          <w:tcPr>
            <w:tcW w:w="1101" w:type="dxa"/>
            <w:vMerge w:val="continue"/>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color w:val="000000"/>
                <w:sz w:val="20"/>
                <w:szCs w:val="20"/>
              </w:rPr>
            </w:pPr>
          </w:p>
        </w:tc>
        <w:tc>
          <w:tcPr>
            <w:tcW w:w="1844" w:type="dxa"/>
            <w:vAlign w:val="center"/>
          </w:tcPr>
          <w:p>
            <w:pPr>
              <w:keepNext w:val="0"/>
              <w:keepLines w:val="0"/>
              <w:pageBreakBefore w:val="0"/>
              <w:kinsoku/>
              <w:wordWrap/>
              <w:overflowPunct/>
              <w:topLinePunct w:val="0"/>
              <w:bidi w:val="0"/>
              <w:spacing w:line="240" w:lineRule="auto"/>
              <w:ind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3.2.3</w:t>
            </w:r>
          </w:p>
        </w:tc>
        <w:tc>
          <w:tcPr>
            <w:tcW w:w="6190" w:type="dxa"/>
            <w:vAlign w:val="center"/>
          </w:tcPr>
          <w:p>
            <w:pPr>
              <w:keepNext w:val="0"/>
              <w:keepLines w:val="0"/>
              <w:pageBreakBefore w:val="0"/>
              <w:kinsoku/>
              <w:wordWrap/>
              <w:overflowPunct/>
              <w:topLinePunct w:val="0"/>
              <w:bidi w:val="0"/>
              <w:adjustRightInd w:val="0"/>
              <w:snapToGrid w:val="0"/>
              <w:spacing w:line="240" w:lineRule="auto"/>
              <w:ind w:firstLine="420" w:firstLineChars="0"/>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比选申请人的商务和技术得分=A＋B。</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8" w:hRule="atLeast"/>
        </w:trPr>
        <w:tc>
          <w:tcPr>
            <w:tcW w:w="1101" w:type="dxa"/>
            <w:vMerge w:val="restart"/>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3.4</w:t>
            </w:r>
          </w:p>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第二个信封初步评审</w:t>
            </w:r>
          </w:p>
        </w:tc>
        <w:tc>
          <w:tcPr>
            <w:tcW w:w="1844" w:type="dxa"/>
            <w:vAlign w:val="center"/>
          </w:tcPr>
          <w:p>
            <w:pPr>
              <w:keepNext w:val="0"/>
              <w:keepLines w:val="0"/>
              <w:pageBreakBefore w:val="0"/>
              <w:kinsoku/>
              <w:wordWrap/>
              <w:overflowPunct/>
              <w:topLinePunct w:val="0"/>
              <w:bidi w:val="0"/>
              <w:spacing w:line="240" w:lineRule="auto"/>
              <w:ind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3.4.1</w:t>
            </w:r>
          </w:p>
        </w:tc>
        <w:tc>
          <w:tcPr>
            <w:tcW w:w="6190" w:type="dxa"/>
            <w:vAlign w:val="center"/>
          </w:tcPr>
          <w:p>
            <w:pPr>
              <w:keepNext w:val="0"/>
              <w:keepLines w:val="0"/>
              <w:pageBreakBefore w:val="0"/>
              <w:kinsoku/>
              <w:wordWrap/>
              <w:overflowPunct/>
              <w:topLinePunct w:val="0"/>
              <w:bidi w:val="0"/>
              <w:adjustRightInd w:val="0"/>
              <w:snapToGrid w:val="0"/>
              <w:spacing w:line="240" w:lineRule="auto"/>
              <w:ind w:firstLine="420" w:firstLineChars="0"/>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评标委员会按本章第2.1.1项、第2.1.3项规定的评审标准对比选申请文件第二个信封（报价文件）进行初步评审，有一项不符合评审标准的，评标委员会应否决其比选申请。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8" w:hRule="atLeast"/>
        </w:trPr>
        <w:tc>
          <w:tcPr>
            <w:tcW w:w="1101" w:type="dxa"/>
            <w:vMerge w:val="continue"/>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color w:val="000000"/>
                <w:sz w:val="20"/>
                <w:szCs w:val="20"/>
              </w:rPr>
            </w:pPr>
          </w:p>
        </w:tc>
        <w:tc>
          <w:tcPr>
            <w:tcW w:w="1844" w:type="dxa"/>
            <w:vAlign w:val="center"/>
          </w:tcPr>
          <w:p>
            <w:pPr>
              <w:keepNext w:val="0"/>
              <w:keepLines w:val="0"/>
              <w:pageBreakBefore w:val="0"/>
              <w:kinsoku/>
              <w:wordWrap/>
              <w:overflowPunct/>
              <w:topLinePunct w:val="0"/>
              <w:bidi w:val="0"/>
              <w:spacing w:line="240" w:lineRule="auto"/>
              <w:ind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3.4.3</w:t>
            </w:r>
          </w:p>
        </w:tc>
        <w:tc>
          <w:tcPr>
            <w:tcW w:w="6190" w:type="dxa"/>
            <w:vAlign w:val="center"/>
          </w:tcPr>
          <w:p>
            <w:pPr>
              <w:keepNext w:val="0"/>
              <w:keepLines w:val="0"/>
              <w:pageBreakBefore w:val="0"/>
              <w:kinsoku/>
              <w:wordWrap/>
              <w:overflowPunct/>
              <w:topLinePunct w:val="0"/>
              <w:bidi w:val="0"/>
              <w:adjustRightInd w:val="0"/>
              <w:snapToGrid w:val="0"/>
              <w:spacing w:line="240" w:lineRule="auto"/>
              <w:ind w:firstLine="420" w:firstLineChars="0"/>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比选申请人的</w:t>
            </w:r>
            <w:r>
              <w:rPr>
                <w:rFonts w:hint="eastAsia" w:ascii="宋体" w:hAnsi="宋体" w:eastAsia="宋体" w:cs="宋体"/>
                <w:color w:val="000000"/>
                <w:sz w:val="20"/>
                <w:szCs w:val="20"/>
                <w:lang w:val="en-US" w:eastAsia="zh-CN"/>
              </w:rPr>
              <w:t>各项</w:t>
            </w:r>
            <w:r>
              <w:rPr>
                <w:rFonts w:hint="eastAsia" w:ascii="宋体" w:hAnsi="宋体" w:eastAsia="宋体" w:cs="宋体"/>
                <w:color w:val="000000"/>
                <w:sz w:val="20"/>
                <w:szCs w:val="20"/>
              </w:rPr>
              <w:t>报价若超过比选申请最高限价，评标委员会应否决其比选申请。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8" w:hRule="atLeast"/>
        </w:trPr>
        <w:tc>
          <w:tcPr>
            <w:tcW w:w="1101" w:type="dxa"/>
            <w:vMerge w:val="restart"/>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3.5</w:t>
            </w:r>
          </w:p>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第二个信封详细评审</w:t>
            </w:r>
          </w:p>
        </w:tc>
        <w:tc>
          <w:tcPr>
            <w:tcW w:w="1844" w:type="dxa"/>
            <w:vAlign w:val="center"/>
          </w:tcPr>
          <w:p>
            <w:pPr>
              <w:keepNext w:val="0"/>
              <w:keepLines w:val="0"/>
              <w:pageBreakBefore w:val="0"/>
              <w:kinsoku/>
              <w:wordWrap/>
              <w:overflowPunct/>
              <w:topLinePunct w:val="0"/>
              <w:bidi w:val="0"/>
              <w:spacing w:line="240" w:lineRule="auto"/>
              <w:ind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3.5.1</w:t>
            </w:r>
          </w:p>
        </w:tc>
        <w:tc>
          <w:tcPr>
            <w:tcW w:w="6190" w:type="dxa"/>
            <w:vAlign w:val="center"/>
          </w:tcPr>
          <w:p>
            <w:pPr>
              <w:keepNext w:val="0"/>
              <w:keepLines w:val="0"/>
              <w:pageBreakBefore w:val="0"/>
              <w:kinsoku/>
              <w:wordWrap/>
              <w:overflowPunct/>
              <w:topLinePunct w:val="0"/>
              <w:bidi w:val="0"/>
              <w:adjustRightInd w:val="0"/>
              <w:snapToGrid w:val="0"/>
              <w:spacing w:line="240" w:lineRule="auto"/>
              <w:ind w:firstLine="420" w:firstLineChars="0"/>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按本章第</w:t>
            </w:r>
            <w:r>
              <w:rPr>
                <w:rFonts w:hint="eastAsia" w:ascii="宋体" w:hAnsi="宋体" w:eastAsia="宋体" w:cs="宋体"/>
                <w:sz w:val="20"/>
                <w:szCs w:val="20"/>
              </w:rPr>
              <w:t>详细评审标准——价格部分</w:t>
            </w:r>
            <w:r>
              <w:rPr>
                <w:rFonts w:hint="eastAsia" w:ascii="宋体" w:hAnsi="宋体" w:eastAsia="宋体" w:cs="宋体"/>
                <w:color w:val="000000"/>
                <w:sz w:val="20"/>
                <w:szCs w:val="20"/>
              </w:rPr>
              <w:t>规定的评审因素和分值对评标价计算出得分C，评标价得分分值计算“四舍五入”至少保留小数点后两位。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8" w:hRule="atLeast"/>
        </w:trPr>
        <w:tc>
          <w:tcPr>
            <w:tcW w:w="1101" w:type="dxa"/>
            <w:vMerge w:val="continue"/>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color w:val="000000"/>
                <w:sz w:val="20"/>
                <w:szCs w:val="20"/>
              </w:rPr>
            </w:pPr>
          </w:p>
        </w:tc>
        <w:tc>
          <w:tcPr>
            <w:tcW w:w="1844" w:type="dxa"/>
            <w:vAlign w:val="center"/>
          </w:tcPr>
          <w:p>
            <w:pPr>
              <w:keepNext w:val="0"/>
              <w:keepLines w:val="0"/>
              <w:pageBreakBefore w:val="0"/>
              <w:kinsoku/>
              <w:wordWrap/>
              <w:overflowPunct/>
              <w:topLinePunct w:val="0"/>
              <w:bidi w:val="0"/>
              <w:spacing w:line="240" w:lineRule="auto"/>
              <w:ind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3.5.2</w:t>
            </w:r>
          </w:p>
        </w:tc>
        <w:tc>
          <w:tcPr>
            <w:tcW w:w="6190" w:type="dxa"/>
            <w:vAlign w:val="center"/>
          </w:tcPr>
          <w:p>
            <w:pPr>
              <w:keepNext w:val="0"/>
              <w:keepLines w:val="0"/>
              <w:pageBreakBefore w:val="0"/>
              <w:kinsoku/>
              <w:wordWrap/>
              <w:overflowPunct/>
              <w:topLinePunct w:val="0"/>
              <w:bidi w:val="0"/>
              <w:adjustRightInd w:val="0"/>
              <w:snapToGrid w:val="0"/>
              <w:spacing w:line="240" w:lineRule="auto"/>
              <w:ind w:firstLine="420" w:firstLineChars="0"/>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比选申请人综合得分=比选申请人的商务和技术得分（A+B）＋C</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8" w:hRule="atLeast"/>
        </w:trPr>
        <w:tc>
          <w:tcPr>
            <w:tcW w:w="1101" w:type="dxa"/>
            <w:vMerge w:val="continue"/>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color w:val="000000"/>
                <w:sz w:val="20"/>
                <w:szCs w:val="20"/>
              </w:rPr>
            </w:pPr>
          </w:p>
        </w:tc>
        <w:tc>
          <w:tcPr>
            <w:tcW w:w="1844" w:type="dxa"/>
            <w:vAlign w:val="center"/>
          </w:tcPr>
          <w:p>
            <w:pPr>
              <w:keepNext w:val="0"/>
              <w:keepLines w:val="0"/>
              <w:pageBreakBefore w:val="0"/>
              <w:kinsoku/>
              <w:wordWrap/>
              <w:overflowPunct/>
              <w:topLinePunct w:val="0"/>
              <w:bidi w:val="0"/>
              <w:spacing w:line="240" w:lineRule="auto"/>
              <w:ind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3.5.3</w:t>
            </w:r>
          </w:p>
        </w:tc>
        <w:tc>
          <w:tcPr>
            <w:tcW w:w="6190" w:type="dxa"/>
            <w:vAlign w:val="center"/>
          </w:tcPr>
          <w:p>
            <w:pPr>
              <w:keepNext w:val="0"/>
              <w:keepLines w:val="0"/>
              <w:pageBreakBefore w:val="0"/>
              <w:kinsoku/>
              <w:wordWrap/>
              <w:overflowPunct/>
              <w:topLinePunct w:val="0"/>
              <w:bidi w:val="0"/>
              <w:adjustRightInd w:val="0"/>
              <w:snapToGrid w:val="0"/>
              <w:spacing w:line="240" w:lineRule="auto"/>
              <w:ind w:firstLine="420" w:firstLineChars="0"/>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评标委员会认定比选申请人以低于成本报价的，其比选申请将予以否决。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8" w:hRule="atLeast"/>
        </w:trPr>
        <w:tc>
          <w:tcPr>
            <w:tcW w:w="1101" w:type="dxa"/>
            <w:vMerge w:val="restart"/>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3.6</w:t>
            </w:r>
          </w:p>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比选申请文件相关信息核查</w:t>
            </w:r>
          </w:p>
        </w:tc>
        <w:tc>
          <w:tcPr>
            <w:tcW w:w="1844" w:type="dxa"/>
            <w:vAlign w:val="center"/>
          </w:tcPr>
          <w:p>
            <w:pPr>
              <w:keepNext w:val="0"/>
              <w:keepLines w:val="0"/>
              <w:pageBreakBefore w:val="0"/>
              <w:kinsoku/>
              <w:wordWrap/>
              <w:overflowPunct/>
              <w:topLinePunct w:val="0"/>
              <w:bidi w:val="0"/>
              <w:spacing w:line="240" w:lineRule="auto"/>
              <w:ind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3.6.1</w:t>
            </w:r>
          </w:p>
        </w:tc>
        <w:tc>
          <w:tcPr>
            <w:tcW w:w="6190" w:type="dxa"/>
            <w:vAlign w:val="center"/>
          </w:tcPr>
          <w:p>
            <w:pPr>
              <w:keepNext w:val="0"/>
              <w:keepLines w:val="0"/>
              <w:pageBreakBefore w:val="0"/>
              <w:kinsoku/>
              <w:wordWrap/>
              <w:overflowPunct/>
              <w:topLinePunct w:val="0"/>
              <w:bidi w:val="0"/>
              <w:adjustRightInd w:val="0"/>
              <w:snapToGrid w:val="0"/>
              <w:spacing w:line="240" w:lineRule="auto"/>
              <w:ind w:firstLine="420" w:firstLineChars="0"/>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经核实评标委员会认定比选申请人的第六章“比选申请文件格式”中要求比选申请文件提供的网页信息与国家企业信用信息公示系统、“信用中国”网站查询“失信被执行人”链接</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中国执行信息公开信息</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不符，使得比选申请人的资格条件不符合比选文件规定的，评标委员会应否决其比选申请。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8" w:hRule="atLeast"/>
        </w:trPr>
        <w:tc>
          <w:tcPr>
            <w:tcW w:w="1101" w:type="dxa"/>
            <w:vMerge w:val="continue"/>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color w:val="000000"/>
                <w:sz w:val="20"/>
                <w:szCs w:val="20"/>
              </w:rPr>
            </w:pPr>
          </w:p>
        </w:tc>
        <w:tc>
          <w:tcPr>
            <w:tcW w:w="1844" w:type="dxa"/>
            <w:vAlign w:val="center"/>
          </w:tcPr>
          <w:p>
            <w:pPr>
              <w:keepNext w:val="0"/>
              <w:keepLines w:val="0"/>
              <w:pageBreakBefore w:val="0"/>
              <w:kinsoku/>
              <w:wordWrap/>
              <w:overflowPunct/>
              <w:topLinePunct w:val="0"/>
              <w:bidi w:val="0"/>
              <w:spacing w:line="240" w:lineRule="auto"/>
              <w:ind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3.6.2</w:t>
            </w:r>
          </w:p>
        </w:tc>
        <w:tc>
          <w:tcPr>
            <w:tcW w:w="6190" w:type="dxa"/>
            <w:vAlign w:val="center"/>
          </w:tcPr>
          <w:p>
            <w:pPr>
              <w:keepNext w:val="0"/>
              <w:keepLines w:val="0"/>
              <w:pageBreakBefore w:val="0"/>
              <w:kinsoku/>
              <w:wordWrap/>
              <w:overflowPunct/>
              <w:topLinePunct w:val="0"/>
              <w:bidi w:val="0"/>
              <w:adjustRightInd w:val="0"/>
              <w:snapToGrid w:val="0"/>
              <w:spacing w:line="240" w:lineRule="auto"/>
              <w:ind w:firstLine="420" w:firstLineChars="0"/>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评标委员会在评标过程中发现比选申请人存在串通</w:t>
            </w:r>
            <w:r>
              <w:rPr>
                <w:rFonts w:hint="eastAsia" w:ascii="宋体" w:hAnsi="宋体" w:eastAsia="宋体" w:cs="宋体"/>
                <w:color w:val="000000"/>
                <w:sz w:val="20"/>
                <w:szCs w:val="20"/>
                <w:lang w:val="en-US" w:eastAsia="zh-CN"/>
              </w:rPr>
              <w:t>比选申请</w:t>
            </w:r>
            <w:r>
              <w:rPr>
                <w:rFonts w:hint="eastAsia" w:ascii="宋体" w:hAnsi="宋体" w:eastAsia="宋体" w:cs="宋体"/>
                <w:color w:val="000000"/>
                <w:sz w:val="20"/>
                <w:szCs w:val="20"/>
              </w:rPr>
              <w:t>、弄虚作假、行贿等违法行为情形的，评标委员会应否决其比选申请。比选人将保留上报上级及行业主管部门进行信用处罚的权利。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2" w:hRule="atLeast"/>
        </w:trPr>
        <w:tc>
          <w:tcPr>
            <w:tcW w:w="9135" w:type="dxa"/>
            <w:gridSpan w:val="3"/>
            <w:vAlign w:val="center"/>
          </w:tcPr>
          <w:p>
            <w:pPr>
              <w:pStyle w:val="18"/>
              <w:spacing w:line="360" w:lineRule="auto"/>
              <w:jc w:val="center"/>
              <w:rPr>
                <w:rFonts w:hint="eastAsia" w:ascii="宋体" w:hAnsi="宋体" w:eastAsia="宋体" w:cs="宋体"/>
              </w:rPr>
            </w:pPr>
            <w:r>
              <w:rPr>
                <w:rFonts w:hint="eastAsia" w:ascii="宋体" w:hAnsi="宋体" w:eastAsia="宋体" w:cs="宋体"/>
                <w:b/>
                <w:sz w:val="20"/>
                <w:szCs w:val="20"/>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65" w:hRule="atLeast"/>
        </w:trPr>
        <w:tc>
          <w:tcPr>
            <w:tcW w:w="1101" w:type="dxa"/>
            <w:vAlign w:val="center"/>
          </w:tcPr>
          <w:p>
            <w:pPr>
              <w:spacing w:line="360" w:lineRule="exact"/>
              <w:jc w:val="center"/>
              <w:rPr>
                <w:rFonts w:hint="eastAsia" w:ascii="宋体" w:hAnsi="宋体" w:eastAsia="宋体" w:cs="宋体"/>
                <w:sz w:val="20"/>
                <w:szCs w:val="20"/>
              </w:rPr>
            </w:pPr>
            <w:r>
              <w:rPr>
                <w:rFonts w:hint="eastAsia" w:ascii="宋体" w:hAnsi="宋体" w:eastAsia="宋体" w:cs="宋体"/>
                <w:sz w:val="20"/>
                <w:szCs w:val="20"/>
              </w:rPr>
              <w:t>3.7.5</w:t>
            </w:r>
          </w:p>
        </w:tc>
        <w:tc>
          <w:tcPr>
            <w:tcW w:w="1844" w:type="dxa"/>
            <w:vAlign w:val="center"/>
          </w:tcPr>
          <w:p>
            <w:pPr>
              <w:pStyle w:val="18"/>
              <w:spacing w:line="360" w:lineRule="exact"/>
              <w:jc w:val="center"/>
              <w:rPr>
                <w:rFonts w:hint="eastAsia" w:ascii="宋体" w:hAnsi="宋体" w:eastAsia="宋体" w:cs="宋体"/>
              </w:rPr>
            </w:pPr>
            <w:r>
              <w:rPr>
                <w:rFonts w:hint="eastAsia" w:ascii="宋体" w:hAnsi="宋体" w:eastAsia="宋体" w:cs="宋体"/>
              </w:rPr>
              <w:t>澄清和说明</w:t>
            </w:r>
          </w:p>
        </w:tc>
        <w:tc>
          <w:tcPr>
            <w:tcW w:w="6190" w:type="dxa"/>
            <w:vAlign w:val="center"/>
          </w:tcPr>
          <w:p>
            <w:pPr>
              <w:keepNext w:val="0"/>
              <w:keepLines w:val="0"/>
              <w:pageBreakBefore w:val="0"/>
              <w:kinsoku/>
              <w:wordWrap/>
              <w:overflowPunct/>
              <w:topLinePunct w:val="0"/>
              <w:autoSpaceDE w:val="0"/>
              <w:autoSpaceDN w:val="0"/>
              <w:bidi w:val="0"/>
              <w:adjustRightInd w:val="0"/>
              <w:spacing w:line="240" w:lineRule="auto"/>
              <w:ind w:firstLine="0" w:firstLineChars="0"/>
              <w:textAlignment w:val="auto"/>
              <w:rPr>
                <w:rFonts w:hint="eastAsia" w:ascii="宋体" w:hAnsi="宋体" w:eastAsia="宋体" w:cs="宋体"/>
                <w:kern w:val="0"/>
                <w:sz w:val="20"/>
                <w:szCs w:val="20"/>
              </w:rPr>
            </w:pPr>
            <w:r>
              <w:rPr>
                <w:rFonts w:hint="eastAsia" w:ascii="宋体" w:hAnsi="宋体" w:eastAsia="宋体" w:cs="宋体"/>
                <w:color w:val="000000"/>
                <w:kern w:val="0"/>
                <w:sz w:val="20"/>
                <w:szCs w:val="20"/>
              </w:rPr>
              <w:t>（1）评审委员会可以要求比选申请人对比选申请报价文件中含义不明确、对同类问题表述不一致或者有明显文字和计算错误的内容作必要的澄清、说明或补正。澄清、说明或者补正应以书面方式进行并不得超出比选申请报价文件范围或者改变比选申请报价文件的实质性内容，澄清或补正内容作为</w:t>
            </w:r>
            <w:r>
              <w:rPr>
                <w:rFonts w:hint="eastAsia" w:ascii="宋体" w:hAnsi="宋体" w:eastAsia="宋体" w:cs="宋体"/>
                <w:kern w:val="0"/>
                <w:sz w:val="20"/>
                <w:szCs w:val="20"/>
              </w:rPr>
              <w:t>比选申请报价文件的组成部分。评标委员会不接受比选申请人主动提出的澄清。</w:t>
            </w:r>
          </w:p>
          <w:p>
            <w:pPr>
              <w:keepNext w:val="0"/>
              <w:keepLines w:val="0"/>
              <w:pageBreakBefore w:val="0"/>
              <w:kinsoku/>
              <w:wordWrap/>
              <w:overflowPunct/>
              <w:topLinePunct w:val="0"/>
              <w:autoSpaceDE w:val="0"/>
              <w:autoSpaceDN w:val="0"/>
              <w:bidi w:val="0"/>
              <w:adjustRightInd w:val="0"/>
              <w:spacing w:line="240" w:lineRule="auto"/>
              <w:ind w:firstLine="0" w:firstLineChars="0"/>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（2）比选申请人收到问题澄清通知后必须在规定时间内以书面形式给予澄清，比选申请人的澄清必须加盖比选申请人单位章或法定代表人或其委托代理人签字。</w:t>
            </w:r>
          </w:p>
          <w:p>
            <w:pPr>
              <w:keepNext w:val="0"/>
              <w:keepLines w:val="0"/>
              <w:pageBreakBefore w:val="0"/>
              <w:kinsoku/>
              <w:wordWrap/>
              <w:overflowPunct/>
              <w:topLinePunct w:val="0"/>
              <w:autoSpaceDE w:val="0"/>
              <w:autoSpaceDN w:val="0"/>
              <w:bidi w:val="0"/>
              <w:adjustRightInd w:val="0"/>
              <w:spacing w:line="240" w:lineRule="auto"/>
              <w:ind w:firstLine="0" w:firstLineChars="0"/>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（3）比选申请人不按上述要求对比选申请文件进行澄清或补正的，或比选申请文件存在重大偏差或失实，则不予评审。</w:t>
            </w:r>
          </w:p>
          <w:p>
            <w:pPr>
              <w:pStyle w:val="18"/>
              <w:spacing w:line="360" w:lineRule="exact"/>
              <w:rPr>
                <w:rFonts w:hint="eastAsia" w:ascii="宋体" w:hAnsi="宋体" w:eastAsia="宋体" w:cs="宋体"/>
              </w:rPr>
            </w:pPr>
            <w:r>
              <w:rPr>
                <w:rFonts w:hint="eastAsia" w:ascii="宋体" w:hAnsi="宋体" w:eastAsia="宋体" w:cs="宋体"/>
                <w:color w:val="000000"/>
                <w:sz w:val="20"/>
                <w:szCs w:val="20"/>
              </w:rPr>
              <w:t>（4）若未影响到中选候选人排序，则可不要求比选申请人澄清。若影响到评标排序的应进行澄清，并取得比选申请人的确认。比选申请人不按评标委员会要求澄清或说明的，评标委员会应否决其比选申请。</w:t>
            </w:r>
          </w:p>
        </w:tc>
      </w:tr>
    </w:tbl>
    <w:p/>
    <w:p/>
    <w:p/>
    <w:p/>
    <w:p/>
    <w:p/>
    <w:p/>
    <w:p/>
    <w:p/>
    <w:p/>
    <w:p>
      <w:pPr>
        <w:rPr>
          <w:rFonts w:hint="eastAsia" w:ascii="仿宋" w:hAnsi="仿宋" w:eastAsia="仿宋" w:cs="仿宋"/>
        </w:rPr>
      </w:pPr>
      <w:r>
        <w:rPr>
          <w:rFonts w:hint="eastAsia" w:ascii="仿宋" w:hAnsi="仿宋" w:eastAsia="仿宋" w:cs="仿宋"/>
        </w:rPr>
        <w:br w:type="page"/>
      </w:r>
    </w:p>
    <w:p>
      <w:pPr>
        <w:pStyle w:val="8"/>
        <w:tabs>
          <w:tab w:val="left" w:pos="315"/>
        </w:tabs>
        <w:spacing w:before="120" w:beforeLines="50" w:after="50"/>
        <w:ind w:left="0"/>
        <w:rPr>
          <w:rFonts w:hint="eastAsia" w:ascii="仿宋" w:hAnsi="仿宋" w:eastAsia="仿宋" w:cs="仿宋"/>
          <w:bCs w:val="0"/>
          <w:sz w:val="28"/>
          <w:szCs w:val="28"/>
        </w:rPr>
      </w:pPr>
      <w:r>
        <w:rPr>
          <w:rFonts w:hint="eastAsia" w:ascii="仿宋" w:hAnsi="仿宋" w:eastAsia="仿宋" w:cs="仿宋"/>
          <w:bCs w:val="0"/>
          <w:sz w:val="28"/>
          <w:szCs w:val="28"/>
        </w:rPr>
        <w:t>详细评审标准——商务部分A（满分</w:t>
      </w:r>
      <w:r>
        <w:rPr>
          <w:rFonts w:hint="eastAsia" w:ascii="仿宋" w:hAnsi="仿宋" w:eastAsia="仿宋" w:cs="仿宋"/>
          <w:bCs w:val="0"/>
          <w:sz w:val="28"/>
          <w:szCs w:val="28"/>
          <w:lang w:val="en-US"/>
        </w:rPr>
        <w:t>5</w:t>
      </w:r>
      <w:r>
        <w:rPr>
          <w:rFonts w:hint="eastAsia" w:ascii="仿宋" w:hAnsi="仿宋" w:eastAsia="仿宋" w:cs="仿宋"/>
          <w:bCs w:val="0"/>
          <w:sz w:val="28"/>
          <w:szCs w:val="28"/>
        </w:rPr>
        <w:t>0分）</w:t>
      </w:r>
    </w:p>
    <w:tbl>
      <w:tblPr>
        <w:tblStyle w:val="31"/>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1629"/>
        <w:gridCol w:w="6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598" w:type="dxa"/>
            <w:vAlign w:val="center"/>
          </w:tcPr>
          <w:p>
            <w:pPr>
              <w:jc w:val="center"/>
              <w:rPr>
                <w:rFonts w:hint="eastAsia" w:ascii="仿宋" w:hAnsi="仿宋" w:eastAsia="仿宋" w:cs="仿宋"/>
                <w:b/>
                <w:bCs/>
                <w:szCs w:val="21"/>
              </w:rPr>
            </w:pPr>
            <w:r>
              <w:rPr>
                <w:rFonts w:hint="eastAsia" w:ascii="仿宋" w:hAnsi="仿宋" w:eastAsia="仿宋" w:cs="仿宋"/>
                <w:b/>
                <w:bCs/>
                <w:szCs w:val="21"/>
              </w:rPr>
              <w:t>评分因素</w:t>
            </w:r>
          </w:p>
        </w:tc>
        <w:tc>
          <w:tcPr>
            <w:tcW w:w="1629" w:type="dxa"/>
            <w:vAlign w:val="center"/>
          </w:tcPr>
          <w:p>
            <w:pPr>
              <w:jc w:val="center"/>
              <w:rPr>
                <w:rFonts w:hint="eastAsia" w:ascii="仿宋" w:hAnsi="仿宋" w:eastAsia="仿宋" w:cs="仿宋"/>
                <w:b/>
                <w:bCs/>
                <w:szCs w:val="21"/>
              </w:rPr>
            </w:pPr>
            <w:r>
              <w:rPr>
                <w:rFonts w:hint="eastAsia" w:ascii="仿宋" w:hAnsi="仿宋" w:eastAsia="仿宋" w:cs="仿宋"/>
                <w:b/>
                <w:bCs/>
                <w:szCs w:val="21"/>
              </w:rPr>
              <w:t>分值</w:t>
            </w:r>
          </w:p>
        </w:tc>
        <w:tc>
          <w:tcPr>
            <w:tcW w:w="6287" w:type="dxa"/>
            <w:vAlign w:val="center"/>
          </w:tcPr>
          <w:p>
            <w:pPr>
              <w:jc w:val="center"/>
              <w:rPr>
                <w:rFonts w:hint="eastAsia" w:ascii="仿宋" w:hAnsi="仿宋" w:eastAsia="仿宋" w:cs="仿宋"/>
                <w:b/>
                <w:bCs/>
                <w:szCs w:val="21"/>
              </w:rPr>
            </w:pPr>
            <w:r>
              <w:rPr>
                <w:rFonts w:hint="eastAsia" w:ascii="仿宋" w:hAnsi="仿宋" w:eastAsia="仿宋" w:cs="仿宋"/>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1598" w:type="dxa"/>
            <w:vMerge w:val="restart"/>
            <w:vAlign w:val="center"/>
          </w:tcPr>
          <w:p>
            <w:pPr>
              <w:jc w:val="center"/>
              <w:rPr>
                <w:rFonts w:hint="eastAsia" w:ascii="宋体" w:hAnsi="宋体" w:eastAsia="宋体" w:cs="宋体"/>
                <w:sz w:val="20"/>
                <w:szCs w:val="20"/>
              </w:rPr>
            </w:pPr>
            <w:r>
              <w:rPr>
                <w:rFonts w:hint="eastAsia" w:ascii="宋体" w:hAnsi="宋体" w:eastAsia="宋体" w:cs="宋体"/>
                <w:sz w:val="20"/>
                <w:szCs w:val="20"/>
              </w:rPr>
              <w:t>团队人员及项目业绩</w:t>
            </w:r>
          </w:p>
          <w:p>
            <w:pPr>
              <w:jc w:val="center"/>
              <w:rPr>
                <w:rFonts w:hint="eastAsia" w:ascii="宋体" w:hAnsi="宋体" w:eastAsia="宋体" w:cs="宋体"/>
                <w:sz w:val="20"/>
                <w:szCs w:val="20"/>
              </w:rPr>
            </w:pPr>
            <w:r>
              <w:rPr>
                <w:rFonts w:hint="eastAsia" w:ascii="宋体" w:hAnsi="宋体" w:eastAsia="宋体" w:cs="宋体"/>
                <w:sz w:val="20"/>
                <w:szCs w:val="20"/>
              </w:rPr>
              <w:t>（50分）</w:t>
            </w:r>
          </w:p>
        </w:tc>
        <w:tc>
          <w:tcPr>
            <w:tcW w:w="1629" w:type="dxa"/>
            <w:vAlign w:val="center"/>
          </w:tcPr>
          <w:p>
            <w:pPr>
              <w:spacing w:line="360" w:lineRule="exact"/>
              <w:jc w:val="center"/>
              <w:rPr>
                <w:rFonts w:hint="eastAsia" w:ascii="宋体" w:hAnsi="宋体" w:eastAsia="宋体" w:cs="宋体"/>
                <w:sz w:val="20"/>
                <w:szCs w:val="20"/>
              </w:rPr>
            </w:pPr>
            <w:r>
              <w:rPr>
                <w:rFonts w:hint="eastAsia" w:ascii="宋体" w:hAnsi="宋体" w:eastAsia="宋体" w:cs="宋体"/>
                <w:sz w:val="20"/>
                <w:szCs w:val="20"/>
              </w:rPr>
              <w:t>类似业绩</w:t>
            </w:r>
          </w:p>
          <w:p>
            <w:pPr>
              <w:spacing w:line="360" w:lineRule="exact"/>
              <w:jc w:val="center"/>
              <w:rPr>
                <w:rFonts w:hint="eastAsia" w:ascii="宋体" w:hAnsi="宋体" w:eastAsia="宋体" w:cs="宋体"/>
                <w:sz w:val="20"/>
                <w:szCs w:val="20"/>
              </w:rPr>
            </w:pPr>
            <w:r>
              <w:rPr>
                <w:rFonts w:hint="eastAsia" w:ascii="宋体" w:hAnsi="宋体" w:eastAsia="宋体" w:cs="宋体"/>
                <w:sz w:val="20"/>
                <w:szCs w:val="20"/>
              </w:rPr>
              <w:t>（30分）</w:t>
            </w:r>
          </w:p>
        </w:tc>
        <w:tc>
          <w:tcPr>
            <w:tcW w:w="6287" w:type="dxa"/>
            <w:vAlign w:val="center"/>
          </w:tcPr>
          <w:p>
            <w:pPr>
              <w:spacing w:line="360" w:lineRule="exact"/>
              <w:rPr>
                <w:rFonts w:hint="eastAsia" w:ascii="宋体" w:hAnsi="宋体" w:eastAsia="宋体" w:cs="宋体"/>
                <w:sz w:val="20"/>
                <w:szCs w:val="20"/>
              </w:rPr>
            </w:pPr>
            <w:r>
              <w:rPr>
                <w:rFonts w:hint="eastAsia" w:ascii="宋体" w:hAnsi="宋体" w:eastAsia="宋体" w:cs="宋体"/>
                <w:sz w:val="20"/>
                <w:szCs w:val="20"/>
              </w:rPr>
              <w:t>（1）满足比选申请人资格审查条件业绩最低要求得20分；</w:t>
            </w:r>
          </w:p>
          <w:p>
            <w:pPr>
              <w:spacing w:line="360" w:lineRule="exact"/>
              <w:rPr>
                <w:rFonts w:hint="eastAsia" w:ascii="宋体" w:hAnsi="宋体" w:eastAsia="宋体" w:cs="宋体"/>
                <w:sz w:val="20"/>
                <w:szCs w:val="20"/>
              </w:rPr>
            </w:pPr>
            <w:r>
              <w:rPr>
                <w:rFonts w:hint="eastAsia" w:ascii="宋体" w:hAnsi="宋体" w:eastAsia="宋体" w:cs="宋体"/>
                <w:sz w:val="20"/>
                <w:szCs w:val="20"/>
              </w:rPr>
              <w:t>（2）扣除满足资格审查条件最低要求的业绩数量后，近三年（2022年1月1日起至今)每增加一个完成的安全类技术服务</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服务内容至少包含：</w:t>
            </w:r>
            <w:r>
              <w:rPr>
                <w:rFonts w:hint="eastAsia" w:ascii="宋体" w:hAnsi="宋体" w:eastAsia="宋体" w:cs="宋体"/>
                <w:b w:val="0"/>
                <w:bCs w:val="0"/>
                <w:sz w:val="20"/>
                <w:szCs w:val="20"/>
              </w:rPr>
              <w:t>双重预防机制</w:t>
            </w:r>
            <w:r>
              <w:rPr>
                <w:rFonts w:hint="eastAsia" w:ascii="宋体" w:hAnsi="宋体" w:eastAsia="宋体" w:cs="宋体"/>
                <w:b w:val="0"/>
                <w:bCs w:val="0"/>
                <w:sz w:val="20"/>
                <w:szCs w:val="20"/>
                <w:lang w:val="en-US" w:eastAsia="zh-CN"/>
              </w:rPr>
              <w:t>建设</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安全生产标准化</w:t>
            </w:r>
            <w:r>
              <w:rPr>
                <w:rFonts w:hint="eastAsia" w:ascii="宋体" w:hAnsi="宋体" w:eastAsia="宋体" w:cs="宋体"/>
                <w:b w:val="0"/>
                <w:bCs w:val="0"/>
                <w:sz w:val="20"/>
                <w:szCs w:val="20"/>
                <w:lang w:val="en-US" w:eastAsia="zh-CN"/>
              </w:rPr>
              <w:t>二级达标创建等类似服务</w:t>
            </w:r>
            <w:r>
              <w:rPr>
                <w:rFonts w:hint="eastAsia" w:ascii="宋体" w:hAnsi="宋体" w:eastAsia="宋体" w:cs="宋体"/>
                <w:sz w:val="20"/>
                <w:szCs w:val="20"/>
                <w:lang w:eastAsia="zh-CN"/>
              </w:rPr>
              <w:t>）</w:t>
            </w:r>
            <w:r>
              <w:rPr>
                <w:rFonts w:hint="eastAsia" w:ascii="宋体" w:hAnsi="宋体" w:eastAsia="宋体" w:cs="宋体"/>
                <w:sz w:val="20"/>
                <w:szCs w:val="20"/>
              </w:rPr>
              <w:t>项目业绩加5分,本项最多加10分。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598" w:type="dxa"/>
            <w:vMerge w:val="continue"/>
            <w:vAlign w:val="center"/>
          </w:tcPr>
          <w:p>
            <w:pPr>
              <w:jc w:val="center"/>
              <w:rPr>
                <w:rFonts w:hint="eastAsia" w:ascii="宋体" w:hAnsi="宋体" w:eastAsia="宋体" w:cs="宋体"/>
                <w:sz w:val="20"/>
                <w:szCs w:val="20"/>
              </w:rPr>
            </w:pPr>
          </w:p>
        </w:tc>
        <w:tc>
          <w:tcPr>
            <w:tcW w:w="1629" w:type="dxa"/>
            <w:vAlign w:val="center"/>
          </w:tcPr>
          <w:p>
            <w:pPr>
              <w:spacing w:line="360" w:lineRule="exact"/>
              <w:jc w:val="center"/>
              <w:rPr>
                <w:rFonts w:hint="eastAsia" w:ascii="宋体" w:hAnsi="宋体" w:eastAsia="宋体" w:cs="宋体"/>
                <w:sz w:val="20"/>
                <w:szCs w:val="20"/>
              </w:rPr>
            </w:pPr>
            <w:r>
              <w:rPr>
                <w:rFonts w:hint="eastAsia" w:ascii="宋体" w:hAnsi="宋体" w:eastAsia="宋体" w:cs="宋体"/>
                <w:sz w:val="20"/>
                <w:szCs w:val="20"/>
              </w:rPr>
              <w:t>技术能力</w:t>
            </w:r>
          </w:p>
          <w:p>
            <w:pPr>
              <w:spacing w:line="360" w:lineRule="exact"/>
              <w:jc w:val="center"/>
              <w:rPr>
                <w:rFonts w:hint="eastAsia" w:ascii="宋体" w:hAnsi="宋体" w:eastAsia="宋体" w:cs="宋体"/>
                <w:sz w:val="20"/>
                <w:szCs w:val="20"/>
              </w:rPr>
            </w:pPr>
            <w:r>
              <w:rPr>
                <w:rFonts w:hint="eastAsia" w:ascii="宋体" w:hAnsi="宋体" w:eastAsia="宋体" w:cs="宋体"/>
                <w:sz w:val="20"/>
                <w:szCs w:val="20"/>
              </w:rPr>
              <w:t>（10分）</w:t>
            </w:r>
          </w:p>
        </w:tc>
        <w:tc>
          <w:tcPr>
            <w:tcW w:w="6287" w:type="dxa"/>
            <w:vAlign w:val="center"/>
          </w:tcPr>
          <w:p>
            <w:pPr>
              <w:spacing w:line="360" w:lineRule="exact"/>
              <w:rPr>
                <w:rFonts w:hint="eastAsia" w:ascii="宋体" w:hAnsi="宋体" w:eastAsia="宋体" w:cs="宋体"/>
                <w:sz w:val="20"/>
                <w:szCs w:val="20"/>
              </w:rPr>
            </w:pPr>
            <w:r>
              <w:rPr>
                <w:rFonts w:hint="eastAsia" w:ascii="宋体" w:hAnsi="宋体" w:eastAsia="宋体" w:cs="宋体"/>
                <w:sz w:val="20"/>
                <w:szCs w:val="20"/>
              </w:rPr>
              <w:t>（1）比选申请人每具备一项安全</w:t>
            </w:r>
            <w:r>
              <w:rPr>
                <w:rFonts w:hint="eastAsia" w:ascii="宋体" w:hAnsi="宋体" w:eastAsia="宋体" w:cs="宋体"/>
                <w:b w:val="0"/>
                <w:bCs w:val="0"/>
                <w:sz w:val="20"/>
                <w:szCs w:val="20"/>
              </w:rPr>
              <w:t>双重预防机制</w:t>
            </w:r>
            <w:r>
              <w:rPr>
                <w:rFonts w:hint="eastAsia" w:ascii="宋体" w:hAnsi="宋体" w:eastAsia="宋体" w:cs="宋体"/>
                <w:b w:val="0"/>
                <w:bCs w:val="0"/>
                <w:sz w:val="20"/>
                <w:szCs w:val="20"/>
                <w:lang w:val="en-US" w:eastAsia="zh-CN"/>
              </w:rPr>
              <w:t>建设</w:t>
            </w:r>
            <w:r>
              <w:rPr>
                <w:rFonts w:hint="eastAsia" w:ascii="宋体" w:hAnsi="宋体" w:eastAsia="宋体" w:cs="宋体"/>
                <w:sz w:val="20"/>
                <w:szCs w:val="20"/>
              </w:rPr>
              <w:t>、隐患治理、安全生产标准化</w:t>
            </w:r>
            <w:r>
              <w:rPr>
                <w:rFonts w:hint="eastAsia" w:ascii="宋体" w:hAnsi="宋体" w:eastAsia="宋体" w:cs="宋体"/>
                <w:sz w:val="20"/>
                <w:szCs w:val="20"/>
                <w:lang w:val="en-US" w:eastAsia="zh-CN"/>
              </w:rPr>
              <w:t>达标创建</w:t>
            </w:r>
            <w:r>
              <w:rPr>
                <w:rFonts w:hint="eastAsia" w:ascii="宋体" w:hAnsi="宋体" w:eastAsia="宋体" w:cs="宋体"/>
                <w:sz w:val="20"/>
                <w:szCs w:val="20"/>
              </w:rPr>
              <w:t>等交通运输行业安全生产相关的国家专利或软件著作权加5分，本项最多加10分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598" w:type="dxa"/>
            <w:vMerge w:val="continue"/>
            <w:vAlign w:val="center"/>
          </w:tcPr>
          <w:p>
            <w:pPr>
              <w:jc w:val="center"/>
              <w:rPr>
                <w:rFonts w:hint="eastAsia" w:ascii="宋体" w:hAnsi="宋体" w:eastAsia="宋体" w:cs="宋体"/>
                <w:sz w:val="20"/>
                <w:szCs w:val="20"/>
              </w:rPr>
            </w:pPr>
          </w:p>
        </w:tc>
        <w:tc>
          <w:tcPr>
            <w:tcW w:w="1629" w:type="dxa"/>
            <w:vAlign w:val="center"/>
          </w:tcPr>
          <w:p>
            <w:pPr>
              <w:spacing w:line="360" w:lineRule="exact"/>
              <w:jc w:val="center"/>
              <w:rPr>
                <w:rFonts w:hint="eastAsia" w:ascii="宋体" w:hAnsi="宋体" w:eastAsia="宋体" w:cs="宋体"/>
                <w:sz w:val="20"/>
                <w:szCs w:val="20"/>
              </w:rPr>
            </w:pPr>
            <w:r>
              <w:rPr>
                <w:rFonts w:hint="eastAsia" w:ascii="宋体" w:hAnsi="宋体" w:eastAsia="宋体" w:cs="宋体"/>
                <w:sz w:val="20"/>
                <w:szCs w:val="20"/>
              </w:rPr>
              <w:t>团队配置</w:t>
            </w:r>
          </w:p>
          <w:p>
            <w:pPr>
              <w:spacing w:line="360" w:lineRule="exact"/>
              <w:jc w:val="center"/>
              <w:rPr>
                <w:rFonts w:hint="eastAsia" w:ascii="宋体" w:hAnsi="宋体" w:eastAsia="宋体" w:cs="宋体"/>
                <w:sz w:val="20"/>
                <w:szCs w:val="20"/>
              </w:rPr>
            </w:pPr>
            <w:r>
              <w:rPr>
                <w:rFonts w:hint="eastAsia" w:ascii="宋体" w:hAnsi="宋体" w:eastAsia="宋体" w:cs="宋体"/>
                <w:sz w:val="20"/>
                <w:szCs w:val="20"/>
              </w:rPr>
              <w:t>（10分）</w:t>
            </w:r>
          </w:p>
        </w:tc>
        <w:tc>
          <w:tcPr>
            <w:tcW w:w="6287" w:type="dxa"/>
            <w:vAlign w:val="center"/>
          </w:tcPr>
          <w:p>
            <w:pPr>
              <w:spacing w:line="360" w:lineRule="exact"/>
              <w:rPr>
                <w:rFonts w:hint="eastAsia" w:ascii="宋体" w:hAnsi="宋体" w:eastAsia="宋体" w:cs="宋体"/>
                <w:sz w:val="20"/>
                <w:szCs w:val="20"/>
              </w:rPr>
            </w:pPr>
            <w:r>
              <w:rPr>
                <w:rFonts w:hint="eastAsia" w:ascii="宋体" w:hAnsi="宋体" w:eastAsia="宋体" w:cs="宋体"/>
                <w:sz w:val="20"/>
                <w:szCs w:val="20"/>
              </w:rPr>
              <w:t>（1）拟投入本项目的项目负责人满足</w:t>
            </w:r>
            <w:r>
              <w:rPr>
                <w:rFonts w:hint="eastAsia" w:ascii="宋体" w:hAnsi="宋体" w:eastAsia="宋体" w:cs="宋体"/>
                <w:sz w:val="20"/>
                <w:szCs w:val="20"/>
                <w:highlight w:val="none"/>
                <w:lang w:eastAsia="zh-CN"/>
              </w:rPr>
              <w:t>比选申请人</w:t>
            </w:r>
            <w:r>
              <w:rPr>
                <w:rFonts w:hint="eastAsia" w:ascii="宋体" w:hAnsi="宋体" w:eastAsia="宋体" w:cs="宋体"/>
                <w:sz w:val="20"/>
                <w:szCs w:val="20"/>
              </w:rPr>
              <w:t>须知前附表附录3资格审查条件的，得6分</w:t>
            </w:r>
            <w:r>
              <w:rPr>
                <w:rFonts w:hint="eastAsia" w:ascii="宋体" w:hAnsi="宋体" w:eastAsia="宋体" w:cs="宋体"/>
                <w:sz w:val="20"/>
                <w:szCs w:val="20"/>
                <w:lang w:eastAsia="zh-CN"/>
              </w:rPr>
              <w:t>；</w:t>
            </w:r>
            <w:r>
              <w:rPr>
                <w:rFonts w:hint="eastAsia" w:ascii="宋体" w:hAnsi="宋体" w:eastAsia="宋体" w:cs="宋体"/>
                <w:sz w:val="20"/>
                <w:szCs w:val="20"/>
              </w:rPr>
              <w:t>取得安全类正高级工程师专业技术职称，加4分，</w:t>
            </w:r>
            <w:r>
              <w:rPr>
                <w:rFonts w:hint="eastAsia" w:ascii="宋体" w:hAnsi="宋体" w:eastAsia="宋体" w:cs="宋体"/>
                <w:sz w:val="20"/>
                <w:szCs w:val="20"/>
                <w:lang w:val="en-US" w:eastAsia="zh-CN"/>
              </w:rPr>
              <w:t>本</w:t>
            </w:r>
            <w:r>
              <w:rPr>
                <w:rFonts w:hint="eastAsia" w:ascii="宋体" w:hAnsi="宋体" w:eastAsia="宋体" w:cs="宋体"/>
                <w:sz w:val="20"/>
                <w:szCs w:val="20"/>
              </w:rPr>
              <w:t>项最高10分。</w:t>
            </w:r>
          </w:p>
        </w:tc>
      </w:tr>
    </w:tbl>
    <w:p>
      <w:pPr>
        <w:pStyle w:val="8"/>
        <w:tabs>
          <w:tab w:val="left" w:pos="315"/>
        </w:tabs>
        <w:spacing w:before="120" w:beforeLines="50" w:after="50"/>
        <w:ind w:left="0"/>
        <w:rPr>
          <w:rFonts w:hint="eastAsia" w:ascii="仿宋" w:hAnsi="仿宋" w:eastAsia="仿宋" w:cs="仿宋"/>
          <w:bCs w:val="0"/>
          <w:sz w:val="28"/>
          <w:szCs w:val="28"/>
        </w:rPr>
      </w:pPr>
      <w:r>
        <w:rPr>
          <w:rFonts w:hint="eastAsia" w:ascii="仿宋" w:hAnsi="仿宋" w:eastAsia="仿宋" w:cs="仿宋"/>
          <w:bCs w:val="0"/>
          <w:sz w:val="28"/>
          <w:szCs w:val="28"/>
        </w:rPr>
        <w:t>详细评审标准——技术部分B（满分</w:t>
      </w:r>
      <w:r>
        <w:rPr>
          <w:rFonts w:hint="eastAsia" w:ascii="仿宋" w:hAnsi="仿宋" w:eastAsia="仿宋" w:cs="仿宋"/>
          <w:bCs w:val="0"/>
          <w:sz w:val="28"/>
          <w:szCs w:val="28"/>
          <w:lang w:val="en-US"/>
        </w:rPr>
        <w:t>4</w:t>
      </w:r>
      <w:r>
        <w:rPr>
          <w:rFonts w:hint="eastAsia" w:ascii="仿宋" w:hAnsi="仿宋" w:eastAsia="仿宋" w:cs="仿宋"/>
          <w:bCs w:val="0"/>
          <w:sz w:val="28"/>
          <w:szCs w:val="28"/>
        </w:rPr>
        <w:t>0分）</w:t>
      </w:r>
    </w:p>
    <w:tbl>
      <w:tblPr>
        <w:tblStyle w:val="3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075"/>
        <w:gridCol w:w="760"/>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526" w:type="dxa"/>
            <w:vAlign w:val="center"/>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评分因素</w:t>
            </w:r>
          </w:p>
        </w:tc>
        <w:tc>
          <w:tcPr>
            <w:tcW w:w="2835" w:type="dxa"/>
            <w:gridSpan w:val="2"/>
            <w:vAlign w:val="center"/>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分值</w:t>
            </w:r>
          </w:p>
        </w:tc>
        <w:tc>
          <w:tcPr>
            <w:tcW w:w="5103" w:type="dxa"/>
            <w:vAlign w:val="center"/>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26" w:type="dxa"/>
            <w:vMerge w:val="restart"/>
            <w:vAlign w:val="center"/>
          </w:tcPr>
          <w:p>
            <w:pPr>
              <w:spacing w:line="360" w:lineRule="auto"/>
              <w:jc w:val="center"/>
              <w:rPr>
                <w:rFonts w:hint="eastAsia" w:ascii="宋体" w:hAnsi="宋体" w:eastAsia="宋体" w:cs="宋体"/>
                <w:sz w:val="20"/>
                <w:szCs w:val="20"/>
              </w:rPr>
            </w:pPr>
            <w:r>
              <w:rPr>
                <w:rFonts w:hint="eastAsia" w:ascii="宋体" w:hAnsi="宋体" w:eastAsia="宋体" w:cs="宋体"/>
                <w:sz w:val="20"/>
                <w:szCs w:val="20"/>
              </w:rPr>
              <w:t>服务实施方案</w:t>
            </w:r>
          </w:p>
          <w:p>
            <w:pPr>
              <w:spacing w:line="360" w:lineRule="auto"/>
              <w:jc w:val="center"/>
              <w:rPr>
                <w:rFonts w:hint="eastAsia" w:ascii="宋体" w:hAnsi="宋体" w:eastAsia="宋体" w:cs="宋体"/>
                <w:sz w:val="20"/>
                <w:szCs w:val="20"/>
              </w:rPr>
            </w:pPr>
            <w:r>
              <w:rPr>
                <w:rFonts w:hint="eastAsia" w:ascii="宋体" w:hAnsi="宋体" w:eastAsia="宋体" w:cs="宋体"/>
                <w:sz w:val="20"/>
                <w:szCs w:val="20"/>
              </w:rPr>
              <w:t>（40分）</w:t>
            </w:r>
          </w:p>
        </w:tc>
        <w:tc>
          <w:tcPr>
            <w:tcW w:w="2075" w:type="dxa"/>
            <w:vAlign w:val="center"/>
          </w:tcPr>
          <w:p>
            <w:pPr>
              <w:autoSpaceDE w:val="0"/>
              <w:autoSpaceDN w:val="0"/>
              <w:adjustRightInd w:val="0"/>
              <w:spacing w:line="360" w:lineRule="auto"/>
              <w:jc w:val="center"/>
              <w:rPr>
                <w:rFonts w:hint="eastAsia" w:ascii="宋体" w:hAnsi="宋体" w:eastAsia="宋体" w:cs="宋体"/>
                <w:sz w:val="20"/>
                <w:szCs w:val="20"/>
              </w:rPr>
            </w:pPr>
            <w:r>
              <w:rPr>
                <w:rFonts w:hint="eastAsia" w:ascii="宋体" w:hAnsi="宋体" w:eastAsia="宋体" w:cs="宋体"/>
                <w:sz w:val="20"/>
                <w:szCs w:val="20"/>
              </w:rPr>
              <w:t>对本项目的理解及整体服务方案</w:t>
            </w:r>
          </w:p>
        </w:tc>
        <w:tc>
          <w:tcPr>
            <w:tcW w:w="760" w:type="dxa"/>
            <w:vAlign w:val="center"/>
          </w:tcPr>
          <w:p>
            <w:pPr>
              <w:autoSpaceDE w:val="0"/>
              <w:autoSpaceDN w:val="0"/>
              <w:adjustRightInd w:val="0"/>
              <w:spacing w:line="360" w:lineRule="auto"/>
              <w:jc w:val="center"/>
              <w:rPr>
                <w:rFonts w:hint="eastAsia" w:ascii="宋体" w:hAnsi="宋体" w:eastAsia="宋体" w:cs="宋体"/>
                <w:sz w:val="20"/>
                <w:szCs w:val="20"/>
              </w:rPr>
            </w:pPr>
            <w:r>
              <w:rPr>
                <w:rFonts w:hint="eastAsia" w:ascii="宋体" w:hAnsi="宋体" w:eastAsia="宋体" w:cs="宋体"/>
                <w:sz w:val="20"/>
                <w:szCs w:val="20"/>
              </w:rPr>
              <w:t>20分</w:t>
            </w:r>
          </w:p>
        </w:tc>
        <w:tc>
          <w:tcPr>
            <w:tcW w:w="5103" w:type="dxa"/>
            <w:vAlign w:val="center"/>
          </w:tcPr>
          <w:p>
            <w:pPr>
              <w:widowControl/>
              <w:spacing w:line="360" w:lineRule="exact"/>
              <w:rPr>
                <w:rFonts w:hint="eastAsia" w:ascii="宋体" w:hAnsi="宋体" w:eastAsia="宋体" w:cs="宋体"/>
                <w:sz w:val="20"/>
                <w:szCs w:val="20"/>
              </w:rPr>
            </w:pPr>
            <w:r>
              <w:rPr>
                <w:rFonts w:hint="eastAsia" w:ascii="宋体" w:hAnsi="宋体" w:eastAsia="宋体" w:cs="宋体"/>
                <w:sz w:val="20"/>
                <w:szCs w:val="20"/>
              </w:rPr>
              <w:t>思路清晰、重点突出、进度合理得当、成果明确，优得1</w:t>
            </w:r>
            <w:r>
              <w:rPr>
                <w:rFonts w:hint="eastAsia" w:ascii="宋体" w:hAnsi="宋体" w:eastAsia="宋体" w:cs="宋体"/>
                <w:sz w:val="20"/>
                <w:szCs w:val="20"/>
                <w:lang w:val="en-US" w:eastAsia="zh-CN"/>
              </w:rPr>
              <w:t>7</w:t>
            </w:r>
            <w:r>
              <w:rPr>
                <w:rFonts w:hint="eastAsia" w:ascii="宋体" w:hAnsi="宋体" w:eastAsia="宋体" w:cs="宋体"/>
                <w:sz w:val="20"/>
                <w:szCs w:val="20"/>
              </w:rPr>
              <w:t>.</w:t>
            </w:r>
            <w:r>
              <w:rPr>
                <w:rFonts w:hint="eastAsia" w:ascii="宋体" w:hAnsi="宋体" w:eastAsia="宋体" w:cs="宋体"/>
                <w:sz w:val="20"/>
                <w:szCs w:val="20"/>
                <w:lang w:val="en-US" w:eastAsia="zh-CN"/>
              </w:rPr>
              <w:t>4</w:t>
            </w:r>
            <w:r>
              <w:rPr>
                <w:rFonts w:hint="eastAsia" w:ascii="宋体" w:hAnsi="宋体" w:eastAsia="宋体" w:cs="宋体"/>
                <w:sz w:val="20"/>
                <w:szCs w:val="20"/>
              </w:rPr>
              <w:t>~20分；良得1</w:t>
            </w:r>
            <w:r>
              <w:rPr>
                <w:rFonts w:hint="eastAsia" w:ascii="宋体" w:hAnsi="宋体" w:eastAsia="宋体" w:cs="宋体"/>
                <w:sz w:val="20"/>
                <w:szCs w:val="20"/>
                <w:lang w:val="en-US" w:eastAsia="zh-CN"/>
              </w:rPr>
              <w:t>4</w:t>
            </w:r>
            <w:r>
              <w:rPr>
                <w:rFonts w:hint="eastAsia" w:ascii="宋体" w:hAnsi="宋体" w:eastAsia="宋体" w:cs="宋体"/>
                <w:sz w:val="20"/>
                <w:szCs w:val="20"/>
              </w:rPr>
              <w:t>.</w:t>
            </w:r>
            <w:r>
              <w:rPr>
                <w:rFonts w:hint="eastAsia" w:ascii="宋体" w:hAnsi="宋体" w:eastAsia="宋体" w:cs="宋体"/>
                <w:sz w:val="20"/>
                <w:szCs w:val="20"/>
                <w:lang w:val="en-US" w:eastAsia="zh-CN"/>
              </w:rPr>
              <w:t>7</w:t>
            </w:r>
            <w:r>
              <w:rPr>
                <w:rFonts w:hint="eastAsia" w:ascii="宋体" w:hAnsi="宋体" w:eastAsia="宋体" w:cs="宋体"/>
                <w:sz w:val="20"/>
                <w:szCs w:val="20"/>
              </w:rPr>
              <w:t>~1</w:t>
            </w:r>
            <w:r>
              <w:rPr>
                <w:rFonts w:hint="eastAsia" w:ascii="宋体" w:hAnsi="宋体" w:eastAsia="宋体" w:cs="宋体"/>
                <w:sz w:val="20"/>
                <w:szCs w:val="20"/>
                <w:lang w:val="en-US" w:eastAsia="zh-CN"/>
              </w:rPr>
              <w:t>7.3</w:t>
            </w:r>
            <w:r>
              <w:rPr>
                <w:rFonts w:hint="eastAsia" w:ascii="宋体" w:hAnsi="宋体" w:eastAsia="宋体" w:cs="宋体"/>
                <w:sz w:val="20"/>
                <w:szCs w:val="20"/>
              </w:rPr>
              <w:t>分；一般得12~1</w:t>
            </w:r>
            <w:r>
              <w:rPr>
                <w:rFonts w:hint="eastAsia" w:ascii="宋体" w:hAnsi="宋体" w:eastAsia="宋体" w:cs="宋体"/>
                <w:sz w:val="20"/>
                <w:szCs w:val="20"/>
                <w:lang w:val="en-US" w:eastAsia="zh-CN"/>
              </w:rPr>
              <w:t>4.6</w:t>
            </w:r>
            <w:r>
              <w:rPr>
                <w:rFonts w:hint="eastAsia" w:ascii="宋体" w:hAnsi="宋体" w:eastAsia="宋体" w:cs="宋体"/>
                <w:sz w:val="20"/>
                <w:szCs w:val="20"/>
              </w:rPr>
              <w:t>分；</w:t>
            </w:r>
          </w:p>
          <w:p>
            <w:pPr>
              <w:widowControl/>
              <w:spacing w:line="360" w:lineRule="exact"/>
              <w:rPr>
                <w:rFonts w:hint="eastAsia" w:ascii="宋体" w:hAnsi="宋体" w:eastAsia="宋体" w:cs="宋体"/>
                <w:sz w:val="20"/>
                <w:szCs w:val="20"/>
              </w:rPr>
            </w:pPr>
            <w:r>
              <w:rPr>
                <w:rFonts w:hint="eastAsia" w:ascii="宋体" w:hAnsi="宋体" w:eastAsia="宋体" w:cs="宋体"/>
                <w:sz w:val="20"/>
                <w:szCs w:val="20"/>
              </w:rPr>
              <w:t>无内容或不合理的得0分。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4" w:hRule="atLeast"/>
          <w:jc w:val="center"/>
        </w:trPr>
        <w:tc>
          <w:tcPr>
            <w:tcW w:w="1526" w:type="dxa"/>
            <w:vMerge w:val="continue"/>
            <w:vAlign w:val="center"/>
          </w:tcPr>
          <w:p>
            <w:pPr>
              <w:keepNext/>
              <w:keepLines/>
              <w:spacing w:before="260" w:after="260" w:line="360" w:lineRule="auto"/>
              <w:jc w:val="center"/>
              <w:outlineLvl w:val="2"/>
              <w:rPr>
                <w:rFonts w:hint="eastAsia" w:ascii="宋体" w:hAnsi="宋体" w:eastAsia="宋体" w:cs="宋体"/>
                <w:sz w:val="20"/>
                <w:szCs w:val="20"/>
              </w:rPr>
            </w:pPr>
          </w:p>
        </w:tc>
        <w:tc>
          <w:tcPr>
            <w:tcW w:w="2075" w:type="dxa"/>
            <w:vAlign w:val="center"/>
          </w:tcPr>
          <w:p>
            <w:pPr>
              <w:autoSpaceDE w:val="0"/>
              <w:autoSpaceDN w:val="0"/>
              <w:adjustRightInd w:val="0"/>
              <w:spacing w:line="360" w:lineRule="auto"/>
              <w:jc w:val="center"/>
              <w:rPr>
                <w:rFonts w:hint="eastAsia" w:ascii="宋体" w:hAnsi="宋体" w:eastAsia="宋体" w:cs="宋体"/>
                <w:sz w:val="20"/>
                <w:szCs w:val="20"/>
              </w:rPr>
            </w:pPr>
            <w:r>
              <w:rPr>
                <w:rFonts w:hint="eastAsia" w:ascii="宋体" w:hAnsi="宋体" w:eastAsia="宋体" w:cs="宋体"/>
                <w:spacing w:val="-2"/>
                <w:sz w:val="20"/>
                <w:szCs w:val="20"/>
              </w:rPr>
              <w:t>对本项目质量保障措施、工程进度安排、组织结构、服务时效性保障</w:t>
            </w:r>
          </w:p>
        </w:tc>
        <w:tc>
          <w:tcPr>
            <w:tcW w:w="760" w:type="dxa"/>
            <w:vAlign w:val="center"/>
          </w:tcPr>
          <w:p>
            <w:pPr>
              <w:spacing w:line="360" w:lineRule="auto"/>
              <w:jc w:val="center"/>
              <w:rPr>
                <w:rFonts w:hint="eastAsia" w:ascii="宋体" w:hAnsi="宋体" w:eastAsia="宋体" w:cs="宋体"/>
                <w:sz w:val="20"/>
                <w:szCs w:val="20"/>
              </w:rPr>
            </w:pPr>
            <w:r>
              <w:rPr>
                <w:rFonts w:hint="eastAsia" w:ascii="宋体" w:hAnsi="宋体" w:eastAsia="宋体" w:cs="宋体"/>
                <w:sz w:val="20"/>
                <w:szCs w:val="20"/>
              </w:rPr>
              <w:t>20分</w:t>
            </w:r>
          </w:p>
        </w:tc>
        <w:tc>
          <w:tcPr>
            <w:tcW w:w="5103" w:type="dxa"/>
            <w:vAlign w:val="center"/>
          </w:tcPr>
          <w:p>
            <w:pPr>
              <w:widowControl/>
              <w:spacing w:line="360" w:lineRule="exact"/>
              <w:rPr>
                <w:rFonts w:hint="eastAsia" w:ascii="宋体" w:hAnsi="宋体" w:eastAsia="宋体" w:cs="宋体"/>
                <w:sz w:val="20"/>
                <w:szCs w:val="20"/>
              </w:rPr>
            </w:pPr>
            <w:r>
              <w:rPr>
                <w:rFonts w:hint="eastAsia" w:ascii="宋体" w:hAnsi="宋体" w:eastAsia="宋体" w:cs="宋体"/>
                <w:sz w:val="20"/>
                <w:szCs w:val="20"/>
              </w:rPr>
              <w:t>保障措施具体、合理、操作性强，优得1</w:t>
            </w:r>
            <w:r>
              <w:rPr>
                <w:rFonts w:hint="eastAsia" w:ascii="宋体" w:hAnsi="宋体" w:eastAsia="宋体" w:cs="宋体"/>
                <w:sz w:val="20"/>
                <w:szCs w:val="20"/>
                <w:lang w:val="en-US" w:eastAsia="zh-CN"/>
              </w:rPr>
              <w:t>7</w:t>
            </w:r>
            <w:r>
              <w:rPr>
                <w:rFonts w:hint="eastAsia" w:ascii="宋体" w:hAnsi="宋体" w:eastAsia="宋体" w:cs="宋体"/>
                <w:sz w:val="20"/>
                <w:szCs w:val="20"/>
              </w:rPr>
              <w:t>.</w:t>
            </w:r>
            <w:r>
              <w:rPr>
                <w:rFonts w:hint="eastAsia" w:ascii="宋体" w:hAnsi="宋体" w:eastAsia="宋体" w:cs="宋体"/>
                <w:sz w:val="20"/>
                <w:szCs w:val="20"/>
                <w:lang w:val="en-US" w:eastAsia="zh-CN"/>
              </w:rPr>
              <w:t>4</w:t>
            </w:r>
            <w:r>
              <w:rPr>
                <w:rFonts w:hint="eastAsia" w:ascii="宋体" w:hAnsi="宋体" w:eastAsia="宋体" w:cs="宋体"/>
                <w:sz w:val="20"/>
                <w:szCs w:val="20"/>
              </w:rPr>
              <w:t>~20分；良得</w:t>
            </w:r>
            <w:r>
              <w:rPr>
                <w:rFonts w:hint="eastAsia" w:ascii="宋体" w:hAnsi="宋体" w:eastAsia="宋体" w:cs="宋体"/>
                <w:sz w:val="20"/>
                <w:szCs w:val="20"/>
                <w:lang w:val="en-US" w:eastAsia="zh-CN"/>
              </w:rPr>
              <w:t>14</w:t>
            </w:r>
            <w:r>
              <w:rPr>
                <w:rFonts w:hint="eastAsia" w:ascii="宋体" w:hAnsi="宋体" w:eastAsia="宋体" w:cs="宋体"/>
                <w:sz w:val="20"/>
                <w:szCs w:val="20"/>
              </w:rPr>
              <w:t>.</w:t>
            </w:r>
            <w:r>
              <w:rPr>
                <w:rFonts w:hint="eastAsia" w:ascii="宋体" w:hAnsi="宋体" w:eastAsia="宋体" w:cs="宋体"/>
                <w:sz w:val="20"/>
                <w:szCs w:val="20"/>
                <w:lang w:val="en-US" w:eastAsia="zh-CN"/>
              </w:rPr>
              <w:t>7</w:t>
            </w:r>
            <w:r>
              <w:rPr>
                <w:rFonts w:hint="eastAsia" w:ascii="宋体" w:hAnsi="宋体" w:eastAsia="宋体" w:cs="宋体"/>
                <w:sz w:val="20"/>
                <w:szCs w:val="20"/>
              </w:rPr>
              <w:t>~</w:t>
            </w:r>
            <w:r>
              <w:rPr>
                <w:rFonts w:hint="eastAsia" w:ascii="宋体" w:hAnsi="宋体" w:eastAsia="宋体" w:cs="宋体"/>
                <w:sz w:val="20"/>
                <w:szCs w:val="20"/>
                <w:lang w:val="en-US" w:eastAsia="zh-CN"/>
              </w:rPr>
              <w:t>17.3</w:t>
            </w:r>
            <w:r>
              <w:rPr>
                <w:rFonts w:hint="eastAsia" w:ascii="宋体" w:hAnsi="宋体" w:eastAsia="宋体" w:cs="宋体"/>
                <w:sz w:val="20"/>
                <w:szCs w:val="20"/>
              </w:rPr>
              <w:t>分；一般得12~1</w:t>
            </w:r>
            <w:r>
              <w:rPr>
                <w:rFonts w:hint="eastAsia" w:ascii="宋体" w:hAnsi="宋体" w:eastAsia="宋体" w:cs="宋体"/>
                <w:sz w:val="20"/>
                <w:szCs w:val="20"/>
                <w:lang w:val="en-US" w:eastAsia="zh-CN"/>
              </w:rPr>
              <w:t>4.</w:t>
            </w:r>
            <w:r>
              <w:rPr>
                <w:rFonts w:hint="eastAsia" w:ascii="宋体" w:hAnsi="宋体" w:eastAsia="宋体" w:cs="宋体"/>
                <w:sz w:val="20"/>
                <w:szCs w:val="20"/>
              </w:rPr>
              <w:t>6分，无内容</w:t>
            </w:r>
            <w:r>
              <w:rPr>
                <w:rFonts w:hint="eastAsia" w:ascii="宋体" w:hAnsi="宋体" w:eastAsia="宋体" w:cs="宋体"/>
                <w:sz w:val="20"/>
                <w:szCs w:val="20"/>
                <w:lang w:val="en-US" w:eastAsia="zh-CN"/>
              </w:rPr>
              <w:t>或</w:t>
            </w:r>
            <w:r>
              <w:rPr>
                <w:rFonts w:hint="eastAsia" w:ascii="宋体" w:hAnsi="宋体" w:eastAsia="宋体" w:cs="宋体"/>
                <w:sz w:val="20"/>
                <w:szCs w:val="20"/>
              </w:rPr>
              <w:t>措施及可实施性不合理的</w:t>
            </w:r>
            <w:r>
              <w:rPr>
                <w:rFonts w:hint="eastAsia" w:ascii="宋体" w:hAnsi="宋体" w:eastAsia="宋体" w:cs="宋体"/>
                <w:sz w:val="20"/>
                <w:szCs w:val="20"/>
                <w:lang w:val="en-US" w:eastAsia="zh-CN"/>
              </w:rPr>
              <w:t>得</w:t>
            </w:r>
            <w:r>
              <w:rPr>
                <w:rFonts w:hint="eastAsia" w:ascii="宋体" w:hAnsi="宋体" w:eastAsia="宋体" w:cs="宋体"/>
                <w:sz w:val="20"/>
                <w:szCs w:val="20"/>
              </w:rPr>
              <w:t>0分。</w:t>
            </w:r>
          </w:p>
        </w:tc>
      </w:tr>
    </w:tbl>
    <w:p>
      <w:pPr>
        <w:pStyle w:val="8"/>
        <w:widowControl/>
        <w:tabs>
          <w:tab w:val="left" w:pos="315"/>
        </w:tabs>
        <w:spacing w:before="120" w:beforeLines="50" w:after="50"/>
        <w:ind w:left="0"/>
        <w:rPr>
          <w:rFonts w:hint="eastAsia" w:ascii="仿宋" w:hAnsi="仿宋" w:eastAsia="仿宋" w:cs="仿宋"/>
          <w:bCs w:val="0"/>
          <w:sz w:val="28"/>
          <w:szCs w:val="28"/>
        </w:rPr>
      </w:pPr>
      <w:r>
        <w:rPr>
          <w:rFonts w:hint="eastAsia" w:ascii="仿宋" w:hAnsi="仿宋" w:eastAsia="仿宋" w:cs="仿宋"/>
          <w:bCs w:val="0"/>
          <w:sz w:val="28"/>
          <w:szCs w:val="28"/>
        </w:rPr>
        <w:t>详细评审标准——报价部分C（满分</w:t>
      </w:r>
      <w:r>
        <w:rPr>
          <w:rFonts w:hint="eastAsia" w:ascii="仿宋" w:hAnsi="仿宋" w:eastAsia="仿宋" w:cs="仿宋"/>
          <w:bCs w:val="0"/>
          <w:sz w:val="28"/>
          <w:szCs w:val="28"/>
          <w:lang w:val="en-US"/>
        </w:rPr>
        <w:t>1</w:t>
      </w:r>
      <w:r>
        <w:rPr>
          <w:rFonts w:hint="eastAsia" w:ascii="仿宋" w:hAnsi="仿宋" w:eastAsia="仿宋" w:cs="仿宋"/>
          <w:bCs w:val="0"/>
          <w:sz w:val="28"/>
          <w:szCs w:val="28"/>
        </w:rPr>
        <w:t>0分）</w:t>
      </w:r>
    </w:p>
    <w:tbl>
      <w:tblPr>
        <w:tblStyle w:val="3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135"/>
        <w:gridCol w:w="700"/>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526" w:type="dxa"/>
            <w:vAlign w:val="center"/>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评分因素</w:t>
            </w:r>
          </w:p>
        </w:tc>
        <w:tc>
          <w:tcPr>
            <w:tcW w:w="2835" w:type="dxa"/>
            <w:gridSpan w:val="2"/>
            <w:vAlign w:val="center"/>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权重分值</w:t>
            </w:r>
          </w:p>
        </w:tc>
        <w:tc>
          <w:tcPr>
            <w:tcW w:w="5103" w:type="dxa"/>
            <w:vAlign w:val="center"/>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jc w:val="center"/>
        </w:trPr>
        <w:tc>
          <w:tcPr>
            <w:tcW w:w="1526" w:type="dxa"/>
            <w:vAlign w:val="center"/>
          </w:tcPr>
          <w:p>
            <w:pPr>
              <w:spacing w:line="360" w:lineRule="auto"/>
              <w:jc w:val="center"/>
              <w:rPr>
                <w:rFonts w:hint="eastAsia" w:ascii="宋体" w:hAnsi="宋体" w:eastAsia="宋体" w:cs="宋体"/>
                <w:sz w:val="20"/>
                <w:szCs w:val="20"/>
              </w:rPr>
            </w:pPr>
            <w:r>
              <w:rPr>
                <w:rFonts w:hint="eastAsia" w:ascii="宋体" w:hAnsi="宋体" w:eastAsia="宋体" w:cs="宋体"/>
                <w:sz w:val="20"/>
                <w:szCs w:val="20"/>
              </w:rPr>
              <w:t>比选申请报价</w:t>
            </w:r>
          </w:p>
          <w:p>
            <w:pPr>
              <w:spacing w:line="360" w:lineRule="auto"/>
              <w:jc w:val="center"/>
              <w:rPr>
                <w:rFonts w:hint="eastAsia" w:ascii="宋体" w:hAnsi="宋体" w:eastAsia="宋体" w:cs="宋体"/>
                <w:sz w:val="20"/>
                <w:szCs w:val="20"/>
              </w:rPr>
            </w:pPr>
            <w:r>
              <w:rPr>
                <w:rFonts w:hint="eastAsia" w:ascii="宋体" w:hAnsi="宋体" w:eastAsia="宋体" w:cs="宋体"/>
                <w:sz w:val="20"/>
                <w:szCs w:val="20"/>
              </w:rPr>
              <w:t>（10分）</w:t>
            </w:r>
          </w:p>
        </w:tc>
        <w:tc>
          <w:tcPr>
            <w:tcW w:w="2135" w:type="dxa"/>
            <w:vAlign w:val="center"/>
          </w:tcPr>
          <w:p>
            <w:pPr>
              <w:spacing w:line="360" w:lineRule="auto"/>
              <w:jc w:val="center"/>
              <w:rPr>
                <w:rFonts w:hint="eastAsia" w:ascii="宋体" w:hAnsi="宋体" w:eastAsia="宋体" w:cs="宋体"/>
                <w:spacing w:val="-2"/>
                <w:sz w:val="20"/>
                <w:szCs w:val="20"/>
              </w:rPr>
            </w:pPr>
            <w:r>
              <w:rPr>
                <w:rFonts w:hint="eastAsia" w:ascii="宋体" w:hAnsi="宋体" w:eastAsia="宋体" w:cs="宋体"/>
                <w:sz w:val="20"/>
                <w:szCs w:val="20"/>
              </w:rPr>
              <w:t>比选申请报价</w:t>
            </w:r>
          </w:p>
        </w:tc>
        <w:tc>
          <w:tcPr>
            <w:tcW w:w="700"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10分</w:t>
            </w:r>
          </w:p>
        </w:tc>
        <w:tc>
          <w:tcPr>
            <w:tcW w:w="5103" w:type="dxa"/>
            <w:vAlign w:val="center"/>
          </w:tcPr>
          <w:p>
            <w:pPr>
              <w:spacing w:line="360" w:lineRule="auto"/>
              <w:rPr>
                <w:rFonts w:hint="eastAsia" w:ascii="宋体" w:hAnsi="宋体" w:eastAsia="宋体" w:cs="宋体"/>
                <w:sz w:val="20"/>
                <w:szCs w:val="20"/>
              </w:rPr>
            </w:pPr>
            <w:r>
              <w:rPr>
                <w:rFonts w:hint="eastAsia" w:ascii="宋体" w:hAnsi="宋体" w:eastAsia="宋体" w:cs="宋体"/>
                <w:sz w:val="20"/>
                <w:szCs w:val="20"/>
              </w:rPr>
              <w:t>报价等于基准价的得</w:t>
            </w:r>
            <w:r>
              <w:rPr>
                <w:rFonts w:hint="eastAsia" w:ascii="宋体" w:hAnsi="宋体" w:eastAsia="宋体" w:cs="宋体"/>
                <w:sz w:val="20"/>
                <w:szCs w:val="20"/>
                <w:lang w:val="en-US" w:eastAsia="zh-CN"/>
              </w:rPr>
              <w:t>1</w:t>
            </w:r>
            <w:r>
              <w:rPr>
                <w:rFonts w:hint="eastAsia" w:ascii="宋体" w:hAnsi="宋体" w:eastAsia="宋体" w:cs="宋体"/>
                <w:sz w:val="20"/>
                <w:szCs w:val="20"/>
              </w:rPr>
              <w:t>0分；每高于基准价1%则扣</w:t>
            </w:r>
            <w:r>
              <w:rPr>
                <w:rFonts w:hint="eastAsia" w:ascii="宋体" w:hAnsi="宋体" w:eastAsia="宋体" w:cs="宋体"/>
                <w:sz w:val="20"/>
                <w:szCs w:val="20"/>
                <w:lang w:val="en-US" w:eastAsia="zh-CN"/>
              </w:rPr>
              <w:t>0.6</w:t>
            </w:r>
            <w:r>
              <w:rPr>
                <w:rFonts w:hint="eastAsia" w:ascii="宋体" w:hAnsi="宋体" w:eastAsia="宋体" w:cs="宋体"/>
                <w:sz w:val="20"/>
                <w:szCs w:val="20"/>
              </w:rPr>
              <w:t>分，每低于基准价1%则扣0.5分，直至</w:t>
            </w:r>
            <w:r>
              <w:rPr>
                <w:rFonts w:hint="eastAsia" w:ascii="宋体" w:hAnsi="宋体" w:eastAsia="宋体" w:cs="宋体"/>
                <w:sz w:val="20"/>
                <w:szCs w:val="20"/>
                <w:lang w:val="en-US" w:eastAsia="zh-CN"/>
              </w:rPr>
              <w:t>1</w:t>
            </w:r>
            <w:r>
              <w:rPr>
                <w:rFonts w:hint="eastAsia" w:ascii="宋体" w:hAnsi="宋体" w:eastAsia="宋体" w:cs="宋体"/>
                <w:sz w:val="20"/>
                <w:szCs w:val="20"/>
              </w:rPr>
              <w:t>0分扣完为止。</w:t>
            </w:r>
          </w:p>
          <w:p>
            <w:pPr>
              <w:spacing w:line="360" w:lineRule="auto"/>
              <w:rPr>
                <w:rFonts w:hint="eastAsia" w:ascii="宋体" w:hAnsi="宋体" w:eastAsia="宋体" w:cs="宋体"/>
                <w:sz w:val="20"/>
                <w:szCs w:val="20"/>
              </w:rPr>
            </w:pPr>
            <w:r>
              <w:rPr>
                <w:rFonts w:hint="eastAsia" w:ascii="宋体" w:hAnsi="宋体" w:eastAsia="宋体" w:cs="宋体"/>
                <w:sz w:val="20"/>
                <w:szCs w:val="20"/>
              </w:rPr>
              <w:t>注：平均值的取值按四舍五入法，小数点后保留两位小数。</w:t>
            </w:r>
          </w:p>
        </w:tc>
      </w:tr>
    </w:tbl>
    <w:p>
      <w:pPr>
        <w:pStyle w:val="6"/>
        <w:spacing w:before="120" w:beforeLines="50" w:after="50"/>
        <w:jc w:val="center"/>
        <w:outlineLvl w:val="1"/>
        <w:rPr>
          <w:rFonts w:hint="eastAsia" w:ascii="仿宋_GB2312" w:hAnsi="仿宋_GB2312" w:eastAsia="仿宋_GB2312" w:cs="仿宋_GB2312"/>
        </w:rPr>
      </w:pPr>
      <w:r>
        <w:rPr>
          <w:rFonts w:hint="eastAsia" w:ascii="仿宋_GB2312" w:hAnsi="仿宋_GB2312" w:eastAsia="仿宋_GB2312" w:cs="仿宋_GB2312"/>
          <w:sz w:val="32"/>
          <w:szCs w:val="32"/>
        </w:rPr>
        <w:t>（二）评审办法（综合评分法）</w:t>
      </w:r>
    </w:p>
    <w:p>
      <w:pPr>
        <w:spacing w:before="120" w:beforeLines="50" w:after="120" w:afterLines="50" w:line="360" w:lineRule="auto"/>
        <w:rPr>
          <w:rFonts w:hint="eastAsia" w:ascii="仿宋_GB2312" w:hAnsi="仿宋_GB2312" w:eastAsia="仿宋_GB2312" w:cs="仿宋_GB2312"/>
          <w:sz w:val="28"/>
          <w:szCs w:val="28"/>
        </w:rPr>
      </w:pPr>
      <w:bookmarkStart w:id="59" w:name="_Toc525043224"/>
      <w:r>
        <w:rPr>
          <w:rFonts w:hint="eastAsia" w:ascii="仿宋_GB2312" w:hAnsi="仿宋_GB2312" w:eastAsia="仿宋_GB2312" w:cs="仿宋_GB2312"/>
          <w:sz w:val="28"/>
          <w:szCs w:val="28"/>
        </w:rPr>
        <w:t>1.评审方法</w:t>
      </w:r>
      <w:bookmarkEnd w:id="59"/>
    </w:p>
    <w:p>
      <w:pPr>
        <w:adjustRightInd w:val="0"/>
        <w:snapToGrid w:val="0"/>
        <w:spacing w:line="360" w:lineRule="auto"/>
        <w:ind w:firstLine="560" w:firstLineChars="200"/>
        <w:rPr>
          <w:rFonts w:hint="eastAsia" w:ascii="仿宋_GB2312" w:hAnsi="仿宋_GB2312" w:eastAsia="仿宋_GB2312" w:cs="仿宋_GB2312"/>
          <w:kern w:val="0"/>
          <w:sz w:val="28"/>
          <w:szCs w:val="28"/>
          <w:highlight w:val="none"/>
        </w:rPr>
      </w:pPr>
      <w:bookmarkStart w:id="60" w:name="_Toc525043225"/>
      <w:r>
        <w:rPr>
          <w:rFonts w:hint="eastAsia" w:ascii="仿宋_GB2312" w:hAnsi="仿宋_GB2312" w:eastAsia="仿宋_GB2312" w:cs="仿宋_GB2312"/>
          <w:sz w:val="28"/>
          <w:szCs w:val="28"/>
        </w:rPr>
        <w:t>本次</w:t>
      </w:r>
      <w:r>
        <w:rPr>
          <w:rFonts w:hint="eastAsia" w:ascii="仿宋_GB2312" w:hAnsi="仿宋_GB2312" w:eastAsia="仿宋_GB2312" w:cs="仿宋_GB2312"/>
          <w:kern w:val="0"/>
          <w:sz w:val="28"/>
          <w:szCs w:val="28"/>
        </w:rPr>
        <w:t>评标采用综合评分法，评标委员会对满足实质性要求的比选申请文件，按照评标办法前附表规定的评分标准进行打分，并按综合得分由高到底顺序推荐</w:t>
      </w:r>
      <w:r>
        <w:rPr>
          <w:rFonts w:hint="eastAsia" w:ascii="仿宋_GB2312" w:hAnsi="仿宋_GB2312" w:eastAsia="仿宋_GB2312" w:cs="仿宋_GB2312"/>
          <w:kern w:val="0"/>
          <w:sz w:val="28"/>
          <w:szCs w:val="28"/>
          <w:lang w:eastAsia="zh-CN"/>
        </w:rPr>
        <w:t>中选候选人</w:t>
      </w:r>
      <w:r>
        <w:rPr>
          <w:rFonts w:hint="eastAsia" w:ascii="仿宋_GB2312" w:hAnsi="仿宋_GB2312" w:eastAsia="仿宋_GB2312" w:cs="仿宋_GB2312"/>
          <w:kern w:val="0"/>
          <w:sz w:val="28"/>
          <w:szCs w:val="28"/>
        </w:rPr>
        <w:t>。综合评分相等时，评标委员会应按照评标办法前附表规定的优先次序推荐</w:t>
      </w:r>
      <w:r>
        <w:rPr>
          <w:rFonts w:hint="eastAsia" w:ascii="仿宋_GB2312" w:hAnsi="仿宋_GB2312" w:eastAsia="仿宋_GB2312" w:cs="仿宋_GB2312"/>
          <w:kern w:val="0"/>
          <w:sz w:val="28"/>
          <w:szCs w:val="28"/>
          <w:highlight w:val="none"/>
        </w:rPr>
        <w:t>中</w:t>
      </w:r>
      <w:r>
        <w:rPr>
          <w:rFonts w:hint="eastAsia" w:ascii="仿宋_GB2312" w:hAnsi="仿宋_GB2312" w:eastAsia="仿宋_GB2312" w:cs="仿宋_GB2312"/>
          <w:kern w:val="0"/>
          <w:sz w:val="28"/>
          <w:szCs w:val="28"/>
          <w:highlight w:val="none"/>
          <w:lang w:val="en-US" w:eastAsia="zh-CN"/>
        </w:rPr>
        <w:t>选候</w:t>
      </w:r>
      <w:r>
        <w:rPr>
          <w:rFonts w:hint="eastAsia" w:ascii="仿宋_GB2312" w:hAnsi="仿宋_GB2312" w:eastAsia="仿宋_GB2312" w:cs="仿宋_GB2312"/>
          <w:kern w:val="0"/>
          <w:sz w:val="28"/>
          <w:szCs w:val="28"/>
          <w:highlight w:val="none"/>
        </w:rPr>
        <w:t>选人或确定</w:t>
      </w:r>
      <w:r>
        <w:rPr>
          <w:rFonts w:hint="eastAsia" w:ascii="仿宋_GB2312" w:hAnsi="仿宋_GB2312" w:eastAsia="仿宋_GB2312" w:cs="仿宋_GB2312"/>
          <w:kern w:val="0"/>
          <w:sz w:val="28"/>
          <w:szCs w:val="28"/>
          <w:highlight w:val="none"/>
          <w:lang w:eastAsia="zh-CN"/>
        </w:rPr>
        <w:t>中选人</w:t>
      </w:r>
      <w:r>
        <w:rPr>
          <w:rFonts w:hint="eastAsia" w:ascii="仿宋_GB2312" w:hAnsi="仿宋_GB2312" w:eastAsia="仿宋_GB2312" w:cs="仿宋_GB2312"/>
          <w:kern w:val="0"/>
          <w:sz w:val="28"/>
          <w:szCs w:val="28"/>
          <w:highlight w:val="none"/>
        </w:rPr>
        <w:t>。</w:t>
      </w:r>
    </w:p>
    <w:p>
      <w:pPr>
        <w:spacing w:before="120" w:beforeLines="50" w:after="120" w:afterLines="50"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2.评审标准</w:t>
      </w:r>
      <w:bookmarkEnd w:id="60"/>
    </w:p>
    <w:p>
      <w:pPr>
        <w:tabs>
          <w:tab w:val="left" w:pos="315"/>
        </w:tabs>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2.1初步评审标准</w:t>
      </w:r>
    </w:p>
    <w:p>
      <w:pPr>
        <w:pStyle w:val="18"/>
        <w:adjustRightInd w:val="0"/>
        <w:spacing w:line="360" w:lineRule="auto"/>
        <w:ind w:firstLine="56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rPr>
        <w:t xml:space="preserve">2.1.1 </w:t>
      </w:r>
      <w:r>
        <w:rPr>
          <w:rFonts w:hint="eastAsia" w:ascii="仿宋_GB2312" w:hAnsi="仿宋_GB2312" w:eastAsia="仿宋_GB2312" w:cs="仿宋_GB2312"/>
          <w:sz w:val="28"/>
          <w:szCs w:val="28"/>
          <w:highlight w:val="none"/>
        </w:rPr>
        <w:t>形式评审标准：见评审办法前附表。</w:t>
      </w:r>
    </w:p>
    <w:p>
      <w:pPr>
        <w:pStyle w:val="18"/>
        <w:adjustRightInd w:val="0"/>
        <w:spacing w:line="360" w:lineRule="auto"/>
        <w:ind w:firstLine="56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rPr>
        <w:t>2.1.2</w:t>
      </w:r>
      <w:r>
        <w:rPr>
          <w:rFonts w:hint="eastAsia" w:ascii="仿宋_GB2312" w:hAnsi="仿宋_GB2312" w:eastAsia="仿宋_GB2312" w:cs="仿宋_GB2312"/>
          <w:sz w:val="28"/>
          <w:szCs w:val="28"/>
          <w:highlight w:val="none"/>
        </w:rPr>
        <w:t xml:space="preserve"> 资格评审标准：见评审办法前附表。</w:t>
      </w:r>
    </w:p>
    <w:p>
      <w:pPr>
        <w:pStyle w:val="18"/>
        <w:adjustRightInd w:val="0"/>
        <w:spacing w:line="360" w:lineRule="auto"/>
        <w:ind w:firstLine="56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rPr>
        <w:t>2.1.3</w:t>
      </w:r>
      <w:r>
        <w:rPr>
          <w:rFonts w:hint="eastAsia" w:ascii="仿宋_GB2312" w:hAnsi="仿宋_GB2312" w:eastAsia="仿宋_GB2312" w:cs="仿宋_GB2312"/>
          <w:sz w:val="28"/>
          <w:szCs w:val="28"/>
          <w:highlight w:val="none"/>
        </w:rPr>
        <w:t xml:space="preserve"> 响应性评审标准：见评审办法前附表。</w:t>
      </w:r>
    </w:p>
    <w:p>
      <w:pPr>
        <w:tabs>
          <w:tab w:val="left" w:pos="315"/>
        </w:tabs>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2.2分值构成与评分标准</w:t>
      </w:r>
    </w:p>
    <w:p>
      <w:pPr>
        <w:adjustRightInd w:val="0"/>
        <w:snapToGrid w:val="0"/>
        <w:spacing w:line="360" w:lineRule="auto"/>
        <w:ind w:firstLine="560" w:firstLineChars="200"/>
        <w:rPr>
          <w:rFonts w:hint="eastAsia" w:ascii="仿宋_GB2312" w:hAnsi="仿宋_GB2312" w:eastAsia="仿宋_GB2312" w:cs="仿宋_GB2312"/>
          <w:bCs/>
          <w:kern w:val="0"/>
          <w:sz w:val="28"/>
          <w:szCs w:val="28"/>
          <w:highlight w:val="none"/>
        </w:rPr>
      </w:pPr>
      <w:bookmarkStart w:id="61" w:name="_Toc525043226"/>
      <w:r>
        <w:rPr>
          <w:rFonts w:hint="eastAsia" w:ascii="仿宋_GB2312" w:hAnsi="仿宋_GB2312" w:eastAsia="仿宋_GB2312" w:cs="仿宋_GB2312"/>
          <w:bCs/>
          <w:kern w:val="0"/>
          <w:sz w:val="28"/>
          <w:szCs w:val="28"/>
          <w:highlight w:val="none"/>
        </w:rPr>
        <w:t>见评标办法前附表；</w:t>
      </w:r>
    </w:p>
    <w:p>
      <w:pPr>
        <w:spacing w:before="120" w:beforeLines="50" w:after="120" w:afterLines="50"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3.评审程序</w:t>
      </w:r>
      <w:bookmarkEnd w:id="61"/>
    </w:p>
    <w:p>
      <w:pPr>
        <w:tabs>
          <w:tab w:val="left" w:pos="315"/>
        </w:tabs>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3.1  初步评审</w:t>
      </w:r>
    </w:p>
    <w:p>
      <w:pPr>
        <w:widowControl/>
        <w:spacing w:line="360" w:lineRule="auto"/>
        <w:ind w:firstLine="420"/>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b/>
          <w:kern w:val="0"/>
          <w:sz w:val="28"/>
          <w:szCs w:val="28"/>
          <w:highlight w:val="none"/>
        </w:rPr>
        <w:t>3.1.1</w:t>
      </w:r>
      <w:r>
        <w:rPr>
          <w:rFonts w:hint="eastAsia" w:ascii="仿宋_GB2312" w:hAnsi="仿宋_GB2312" w:eastAsia="仿宋_GB2312" w:cs="仿宋_GB2312"/>
          <w:kern w:val="0"/>
          <w:sz w:val="28"/>
          <w:szCs w:val="28"/>
          <w:highlight w:val="none"/>
        </w:rPr>
        <w:t>评标委员会依据本章第2.1款规定的标准对</w:t>
      </w:r>
      <w:r>
        <w:rPr>
          <w:rFonts w:hint="eastAsia" w:ascii="仿宋_GB2312" w:hAnsi="仿宋_GB2312" w:eastAsia="仿宋_GB2312" w:cs="仿宋_GB2312"/>
          <w:kern w:val="0"/>
          <w:sz w:val="28"/>
          <w:szCs w:val="28"/>
          <w:highlight w:val="none"/>
          <w:lang w:eastAsia="zh-CN"/>
        </w:rPr>
        <w:t>比选申请</w:t>
      </w:r>
      <w:r>
        <w:rPr>
          <w:rFonts w:hint="eastAsia" w:ascii="仿宋_GB2312" w:hAnsi="仿宋_GB2312" w:eastAsia="仿宋_GB2312" w:cs="仿宋_GB2312"/>
          <w:kern w:val="0"/>
          <w:sz w:val="28"/>
          <w:szCs w:val="28"/>
          <w:highlight w:val="none"/>
        </w:rPr>
        <w:t>文件进行初步评审。有一项不符合评审标准的，评标委员会应否决其</w:t>
      </w:r>
      <w:r>
        <w:rPr>
          <w:rFonts w:hint="eastAsia" w:ascii="仿宋_GB2312" w:hAnsi="仿宋_GB2312" w:eastAsia="仿宋_GB2312" w:cs="仿宋_GB2312"/>
          <w:kern w:val="0"/>
          <w:sz w:val="28"/>
          <w:szCs w:val="28"/>
          <w:highlight w:val="none"/>
          <w:lang w:eastAsia="zh-CN"/>
        </w:rPr>
        <w:t>比选申请</w:t>
      </w:r>
      <w:r>
        <w:rPr>
          <w:rFonts w:hint="eastAsia" w:ascii="仿宋_GB2312" w:hAnsi="仿宋_GB2312" w:eastAsia="仿宋_GB2312" w:cs="仿宋_GB2312"/>
          <w:kern w:val="0"/>
          <w:sz w:val="28"/>
          <w:szCs w:val="28"/>
          <w:highlight w:val="none"/>
        </w:rPr>
        <w:t>。</w:t>
      </w:r>
    </w:p>
    <w:p>
      <w:pPr>
        <w:widowControl/>
        <w:spacing w:line="360" w:lineRule="auto"/>
        <w:ind w:firstLine="420"/>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b/>
          <w:kern w:val="0"/>
          <w:sz w:val="28"/>
          <w:szCs w:val="28"/>
          <w:highlight w:val="none"/>
        </w:rPr>
        <w:t>3.1.2</w:t>
      </w:r>
      <w:r>
        <w:rPr>
          <w:rFonts w:hint="eastAsia" w:ascii="仿宋_GB2312" w:hAnsi="仿宋_GB2312" w:eastAsia="仿宋_GB2312" w:cs="仿宋_GB2312"/>
          <w:kern w:val="0"/>
          <w:sz w:val="28"/>
          <w:szCs w:val="28"/>
          <w:highlight w:val="none"/>
          <w:lang w:eastAsia="zh-CN"/>
        </w:rPr>
        <w:t>比选申请</w:t>
      </w:r>
      <w:r>
        <w:rPr>
          <w:rFonts w:hint="eastAsia" w:ascii="仿宋_GB2312" w:hAnsi="仿宋_GB2312" w:eastAsia="仿宋_GB2312" w:cs="仿宋_GB2312"/>
          <w:kern w:val="0"/>
          <w:sz w:val="28"/>
          <w:szCs w:val="28"/>
          <w:highlight w:val="none"/>
        </w:rPr>
        <w:t>报价有算术错误的，评标委员会按评标办法前附表原则对</w:t>
      </w:r>
      <w:r>
        <w:rPr>
          <w:rFonts w:hint="eastAsia" w:ascii="仿宋_GB2312" w:hAnsi="仿宋_GB2312" w:eastAsia="仿宋_GB2312" w:cs="仿宋_GB2312"/>
          <w:kern w:val="0"/>
          <w:sz w:val="28"/>
          <w:szCs w:val="28"/>
          <w:highlight w:val="none"/>
          <w:lang w:eastAsia="zh-CN"/>
        </w:rPr>
        <w:t>比选申请</w:t>
      </w:r>
      <w:r>
        <w:rPr>
          <w:rFonts w:hint="eastAsia" w:ascii="仿宋_GB2312" w:hAnsi="仿宋_GB2312" w:eastAsia="仿宋_GB2312" w:cs="仿宋_GB2312"/>
          <w:kern w:val="0"/>
          <w:sz w:val="28"/>
          <w:szCs w:val="28"/>
          <w:highlight w:val="none"/>
        </w:rPr>
        <w:t>报价进行修正，修正的价格经</w:t>
      </w:r>
      <w:r>
        <w:rPr>
          <w:rFonts w:hint="eastAsia" w:ascii="仿宋_GB2312" w:hAnsi="仿宋_GB2312" w:eastAsia="仿宋_GB2312" w:cs="仿宋_GB2312"/>
          <w:kern w:val="0"/>
          <w:sz w:val="28"/>
          <w:szCs w:val="28"/>
          <w:highlight w:val="none"/>
          <w:lang w:eastAsia="zh-CN"/>
        </w:rPr>
        <w:t>比选申请人</w:t>
      </w:r>
      <w:r>
        <w:rPr>
          <w:rFonts w:hint="eastAsia" w:ascii="仿宋_GB2312" w:hAnsi="仿宋_GB2312" w:eastAsia="仿宋_GB2312" w:cs="仿宋_GB2312"/>
          <w:kern w:val="0"/>
          <w:sz w:val="28"/>
          <w:szCs w:val="28"/>
          <w:highlight w:val="none"/>
        </w:rPr>
        <w:t>书面确认后具有约束力；</w:t>
      </w:r>
      <w:r>
        <w:rPr>
          <w:rFonts w:hint="eastAsia" w:ascii="仿宋_GB2312" w:hAnsi="仿宋_GB2312" w:eastAsia="仿宋_GB2312" w:cs="仿宋_GB2312"/>
          <w:kern w:val="0"/>
          <w:sz w:val="28"/>
          <w:szCs w:val="28"/>
          <w:highlight w:val="none"/>
          <w:lang w:eastAsia="zh-CN"/>
        </w:rPr>
        <w:t>比选申请人</w:t>
      </w:r>
      <w:r>
        <w:rPr>
          <w:rFonts w:hint="eastAsia" w:ascii="仿宋_GB2312" w:hAnsi="仿宋_GB2312" w:eastAsia="仿宋_GB2312" w:cs="仿宋_GB2312"/>
          <w:kern w:val="0"/>
          <w:sz w:val="28"/>
          <w:szCs w:val="28"/>
          <w:highlight w:val="none"/>
        </w:rPr>
        <w:t>不接受修正价格的，评标委员会应否决其</w:t>
      </w:r>
      <w:r>
        <w:rPr>
          <w:rFonts w:hint="eastAsia" w:ascii="仿宋_GB2312" w:hAnsi="仿宋_GB2312" w:eastAsia="仿宋_GB2312" w:cs="仿宋_GB2312"/>
          <w:kern w:val="0"/>
          <w:sz w:val="28"/>
          <w:szCs w:val="28"/>
          <w:highlight w:val="none"/>
          <w:lang w:eastAsia="zh-CN"/>
        </w:rPr>
        <w:t>比选申请</w:t>
      </w:r>
      <w:r>
        <w:rPr>
          <w:rFonts w:hint="eastAsia" w:ascii="仿宋_GB2312" w:hAnsi="仿宋_GB2312" w:eastAsia="仿宋_GB2312" w:cs="仿宋_GB2312"/>
          <w:kern w:val="0"/>
          <w:sz w:val="28"/>
          <w:szCs w:val="28"/>
          <w:highlight w:val="none"/>
        </w:rPr>
        <w:t>；修正后的最终</w:t>
      </w:r>
      <w:r>
        <w:rPr>
          <w:rFonts w:hint="eastAsia" w:ascii="仿宋_GB2312" w:hAnsi="仿宋_GB2312" w:eastAsia="仿宋_GB2312" w:cs="仿宋_GB2312"/>
          <w:kern w:val="0"/>
          <w:sz w:val="28"/>
          <w:szCs w:val="28"/>
          <w:highlight w:val="none"/>
          <w:lang w:eastAsia="zh-CN"/>
        </w:rPr>
        <w:t>比选申请</w:t>
      </w:r>
      <w:r>
        <w:rPr>
          <w:rFonts w:hint="eastAsia" w:ascii="仿宋_GB2312" w:hAnsi="仿宋_GB2312" w:eastAsia="仿宋_GB2312" w:cs="仿宋_GB2312"/>
          <w:kern w:val="0"/>
          <w:sz w:val="28"/>
          <w:szCs w:val="28"/>
          <w:highlight w:val="none"/>
        </w:rPr>
        <w:t>报价若超过最高</w:t>
      </w:r>
      <w:r>
        <w:rPr>
          <w:rFonts w:hint="eastAsia" w:ascii="仿宋_GB2312" w:hAnsi="仿宋_GB2312" w:eastAsia="仿宋_GB2312" w:cs="仿宋_GB2312"/>
          <w:kern w:val="0"/>
          <w:sz w:val="28"/>
          <w:szCs w:val="28"/>
          <w:highlight w:val="none"/>
          <w:lang w:eastAsia="zh-CN"/>
        </w:rPr>
        <w:t>比选申请</w:t>
      </w:r>
      <w:r>
        <w:rPr>
          <w:rFonts w:hint="eastAsia" w:ascii="仿宋_GB2312" w:hAnsi="仿宋_GB2312" w:eastAsia="仿宋_GB2312" w:cs="仿宋_GB2312"/>
          <w:kern w:val="0"/>
          <w:sz w:val="28"/>
          <w:szCs w:val="28"/>
          <w:highlight w:val="none"/>
        </w:rPr>
        <w:t>限价（如有），评标委员会应否决其</w:t>
      </w:r>
      <w:r>
        <w:rPr>
          <w:rFonts w:hint="eastAsia" w:ascii="仿宋_GB2312" w:hAnsi="仿宋_GB2312" w:eastAsia="仿宋_GB2312" w:cs="仿宋_GB2312"/>
          <w:kern w:val="0"/>
          <w:sz w:val="28"/>
          <w:szCs w:val="28"/>
          <w:highlight w:val="none"/>
          <w:lang w:eastAsia="zh-CN"/>
        </w:rPr>
        <w:t>比选申请</w:t>
      </w:r>
      <w:r>
        <w:rPr>
          <w:rFonts w:hint="eastAsia" w:ascii="仿宋_GB2312" w:hAnsi="仿宋_GB2312" w:eastAsia="仿宋_GB2312" w:cs="仿宋_GB2312"/>
          <w:kern w:val="0"/>
          <w:sz w:val="28"/>
          <w:szCs w:val="28"/>
          <w:highlight w:val="none"/>
        </w:rPr>
        <w:t>；修正后的最终</w:t>
      </w:r>
      <w:r>
        <w:rPr>
          <w:rFonts w:hint="eastAsia" w:ascii="仿宋_GB2312" w:hAnsi="仿宋_GB2312" w:eastAsia="仿宋_GB2312" w:cs="仿宋_GB2312"/>
          <w:kern w:val="0"/>
          <w:sz w:val="28"/>
          <w:szCs w:val="28"/>
          <w:highlight w:val="none"/>
          <w:lang w:eastAsia="zh-CN"/>
        </w:rPr>
        <w:t>比选申请</w:t>
      </w:r>
      <w:r>
        <w:rPr>
          <w:rFonts w:hint="eastAsia" w:ascii="仿宋_GB2312" w:hAnsi="仿宋_GB2312" w:eastAsia="仿宋_GB2312" w:cs="仿宋_GB2312"/>
          <w:kern w:val="0"/>
          <w:sz w:val="28"/>
          <w:szCs w:val="28"/>
          <w:highlight w:val="none"/>
        </w:rPr>
        <w:t>报价作为签订合同的一个依据。</w:t>
      </w:r>
    </w:p>
    <w:p>
      <w:pPr>
        <w:tabs>
          <w:tab w:val="left" w:pos="315"/>
        </w:tabs>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3.2 详细评审</w:t>
      </w:r>
    </w:p>
    <w:p>
      <w:pPr>
        <w:spacing w:line="360" w:lineRule="auto"/>
        <w:ind w:firstLine="562" w:firstLineChars="200"/>
        <w:rPr>
          <w:rFonts w:hint="eastAsia" w:ascii="仿宋_GB2312" w:hAnsi="仿宋_GB2312" w:eastAsia="仿宋_GB2312" w:cs="仿宋_GB2312"/>
          <w:bCs/>
          <w:kern w:val="0"/>
          <w:sz w:val="28"/>
          <w:szCs w:val="28"/>
          <w:highlight w:val="none"/>
        </w:rPr>
      </w:pPr>
      <w:r>
        <w:rPr>
          <w:rFonts w:hint="eastAsia" w:ascii="仿宋_GB2312" w:hAnsi="仿宋_GB2312" w:eastAsia="仿宋_GB2312" w:cs="仿宋_GB2312"/>
          <w:b/>
          <w:kern w:val="0"/>
          <w:sz w:val="28"/>
          <w:szCs w:val="28"/>
          <w:highlight w:val="none"/>
        </w:rPr>
        <w:t xml:space="preserve">3.2.1 </w:t>
      </w:r>
      <w:r>
        <w:rPr>
          <w:rFonts w:hint="eastAsia" w:ascii="仿宋_GB2312" w:hAnsi="仿宋_GB2312" w:eastAsia="仿宋_GB2312" w:cs="仿宋_GB2312"/>
          <w:bCs/>
          <w:kern w:val="0"/>
          <w:sz w:val="28"/>
          <w:szCs w:val="28"/>
          <w:highlight w:val="none"/>
        </w:rPr>
        <w:t>评标委员会按本章第2.2款规定的量化因素和分值进行打分，并计算出</w:t>
      </w:r>
      <w:r>
        <w:rPr>
          <w:rFonts w:hint="eastAsia" w:ascii="仿宋_GB2312" w:hAnsi="仿宋_GB2312" w:eastAsia="仿宋_GB2312" w:cs="仿宋_GB2312"/>
          <w:bCs/>
          <w:kern w:val="0"/>
          <w:sz w:val="28"/>
          <w:szCs w:val="28"/>
          <w:highlight w:val="none"/>
          <w:lang w:eastAsia="zh-CN"/>
        </w:rPr>
        <w:t>比选申请人</w:t>
      </w:r>
      <w:r>
        <w:rPr>
          <w:rFonts w:hint="eastAsia" w:ascii="仿宋_GB2312" w:hAnsi="仿宋_GB2312" w:eastAsia="仿宋_GB2312" w:cs="仿宋_GB2312"/>
          <w:bCs/>
          <w:kern w:val="0"/>
          <w:sz w:val="28"/>
          <w:szCs w:val="28"/>
          <w:highlight w:val="none"/>
        </w:rPr>
        <w:t>的商务和技术得分。</w:t>
      </w:r>
    </w:p>
    <w:p>
      <w:pPr>
        <w:spacing w:line="360" w:lineRule="auto"/>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（1）按评标办法前附表规定的评审因素和分值对服务实施方案算出得分A；</w:t>
      </w:r>
    </w:p>
    <w:p>
      <w:pPr>
        <w:spacing w:line="360" w:lineRule="auto"/>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（2）按本章规定的评审因素和分值对其他因素计算出得分B。</w:t>
      </w:r>
    </w:p>
    <w:p>
      <w:pPr>
        <w:spacing w:line="360" w:lineRule="auto"/>
        <w:ind w:firstLine="562"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 xml:space="preserve">3.2.2 </w:t>
      </w:r>
      <w:r>
        <w:rPr>
          <w:rFonts w:hint="eastAsia" w:ascii="仿宋_GB2312" w:hAnsi="仿宋_GB2312" w:eastAsia="仿宋_GB2312" w:cs="仿宋_GB2312"/>
          <w:bCs/>
          <w:kern w:val="0"/>
          <w:sz w:val="28"/>
          <w:szCs w:val="28"/>
          <w:lang w:eastAsia="zh-CN"/>
        </w:rPr>
        <w:t>比选申请人</w:t>
      </w:r>
      <w:r>
        <w:rPr>
          <w:rFonts w:hint="eastAsia" w:ascii="仿宋_GB2312" w:hAnsi="仿宋_GB2312" w:eastAsia="仿宋_GB2312" w:cs="仿宋_GB2312"/>
          <w:bCs/>
          <w:kern w:val="0"/>
          <w:sz w:val="28"/>
          <w:szCs w:val="28"/>
        </w:rPr>
        <w:t>的商务和技术得分分值计算保留小数点后位数：见评标办法前附表。</w:t>
      </w:r>
    </w:p>
    <w:p>
      <w:pPr>
        <w:spacing w:line="360" w:lineRule="auto"/>
        <w:ind w:firstLine="562"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3.2.3</w:t>
      </w:r>
      <w:r>
        <w:rPr>
          <w:rFonts w:hint="eastAsia" w:ascii="仿宋_GB2312" w:hAnsi="仿宋_GB2312" w:eastAsia="仿宋_GB2312" w:cs="仿宋_GB2312"/>
          <w:bCs/>
          <w:kern w:val="0"/>
          <w:sz w:val="28"/>
          <w:szCs w:val="28"/>
        </w:rPr>
        <w:t>评标委员会按本章规定的评审因素和分值对评标价计算出得分C。评标价得分分值计算保留小数点后二位，小数点后第三位“四舍五入”。</w:t>
      </w:r>
    </w:p>
    <w:p>
      <w:pPr>
        <w:spacing w:line="360" w:lineRule="auto"/>
        <w:ind w:firstLine="562"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3.2.4</w:t>
      </w:r>
      <w:r>
        <w:rPr>
          <w:rFonts w:hint="eastAsia" w:ascii="仿宋_GB2312" w:hAnsi="仿宋_GB2312" w:eastAsia="仿宋_GB2312" w:cs="仿宋_GB2312"/>
          <w:bCs/>
          <w:kern w:val="0"/>
          <w:sz w:val="28"/>
          <w:szCs w:val="28"/>
          <w:lang w:eastAsia="zh-CN"/>
        </w:rPr>
        <w:t>比选申请人</w:t>
      </w:r>
      <w:r>
        <w:rPr>
          <w:rFonts w:hint="eastAsia" w:ascii="仿宋_GB2312" w:hAnsi="仿宋_GB2312" w:eastAsia="仿宋_GB2312" w:cs="仿宋_GB2312"/>
          <w:bCs/>
          <w:kern w:val="0"/>
          <w:sz w:val="28"/>
          <w:szCs w:val="28"/>
        </w:rPr>
        <w:t>的综合得分=A+B+C。</w:t>
      </w:r>
    </w:p>
    <w:p>
      <w:pPr>
        <w:tabs>
          <w:tab w:val="left" w:pos="315"/>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 比选申请文件相关信息的核查</w:t>
      </w:r>
    </w:p>
    <w:p>
      <w:pPr>
        <w:pStyle w:val="51"/>
        <w:widowControl w:val="0"/>
        <w:ind w:firstLine="56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评审委员会应对在评审过程中发现的比选申请人与比选申请人之间、比选申请人与比选人之间存在的串通比选的情形进行评审和认定。比选申请人存在串通比选、弄虚作假、行贿等违法行为的，评审委员会应否决其比选。</w:t>
      </w:r>
    </w:p>
    <w:p>
      <w:pPr>
        <w:widowControl/>
        <w:spacing w:line="360" w:lineRule="auto"/>
        <w:ind w:firstLine="280" w:firstLineChars="1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（1）有下列情形之一的，属于比选申请人相互串通比选：</w:t>
      </w:r>
    </w:p>
    <w:p>
      <w:pPr>
        <w:widowControl/>
        <w:spacing w:line="360" w:lineRule="auto"/>
        <w:ind w:firstLine="42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a.比选申请人之间协商比选报价等比选申请文件的实质性内容；</w:t>
      </w:r>
    </w:p>
    <w:p>
      <w:pPr>
        <w:widowControl/>
        <w:spacing w:line="360" w:lineRule="auto"/>
        <w:ind w:firstLine="42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b.比选申请人之间约定中选人；</w:t>
      </w:r>
    </w:p>
    <w:p>
      <w:pPr>
        <w:widowControl/>
        <w:spacing w:line="360" w:lineRule="auto"/>
        <w:ind w:firstLine="42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c.比选申请人之间约定部分比选申请人放弃比选或中选；</w:t>
      </w:r>
    </w:p>
    <w:p>
      <w:pPr>
        <w:widowControl/>
        <w:spacing w:line="360" w:lineRule="auto"/>
        <w:ind w:firstLine="42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d.属于同一集团、协会、商会等组织成员的比选申请人按照该组织要求协同比选；</w:t>
      </w:r>
    </w:p>
    <w:p>
      <w:pPr>
        <w:widowControl/>
        <w:spacing w:line="360" w:lineRule="auto"/>
        <w:ind w:firstLine="42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e.比选申请人之间为谋取中选或排斥特定比选申请人而采取的其他联合行动。</w:t>
      </w:r>
    </w:p>
    <w:p>
      <w:pPr>
        <w:widowControl/>
        <w:spacing w:line="360" w:lineRule="auto"/>
        <w:ind w:firstLine="280" w:firstLineChars="1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（2）有下列情形之一的，视为比选申请人相互串通比选：</w:t>
      </w:r>
    </w:p>
    <w:p>
      <w:pPr>
        <w:widowControl/>
        <w:spacing w:line="360" w:lineRule="auto"/>
        <w:ind w:firstLine="42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a.不同比选申请人的比选申请文件由同一单位或个人编制；</w:t>
      </w:r>
    </w:p>
    <w:p>
      <w:pPr>
        <w:widowControl/>
        <w:spacing w:line="360" w:lineRule="auto"/>
        <w:ind w:firstLine="42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b.不同比选申请人委托同一单位或个人办理比选事宜；</w:t>
      </w:r>
    </w:p>
    <w:p>
      <w:pPr>
        <w:widowControl/>
        <w:spacing w:line="360" w:lineRule="auto"/>
        <w:ind w:firstLine="42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c.不同比选申请人的比选申请文件载明的项目管理成员为同一人；</w:t>
      </w:r>
    </w:p>
    <w:p>
      <w:pPr>
        <w:widowControl/>
        <w:spacing w:line="360" w:lineRule="auto"/>
        <w:ind w:firstLine="42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d.不同比选申请人的比选申请文件异常一致或比选报价呈规律性差异；</w:t>
      </w:r>
    </w:p>
    <w:p>
      <w:pPr>
        <w:widowControl/>
        <w:spacing w:line="360" w:lineRule="auto"/>
        <w:ind w:firstLine="42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e.不同比选申请人的比选申请文件相互混装；</w:t>
      </w:r>
    </w:p>
    <w:p>
      <w:pPr>
        <w:widowControl/>
        <w:spacing w:line="360" w:lineRule="auto"/>
        <w:ind w:firstLine="42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f.不同比选申请人的比选保证金从同一单位或个人的账户转出。</w:t>
      </w:r>
    </w:p>
    <w:p>
      <w:pPr>
        <w:widowControl/>
        <w:spacing w:line="360" w:lineRule="auto"/>
        <w:ind w:firstLine="280" w:firstLineChars="1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（3）有下列情形之一的，属于比选人与比选申请人串通比选：</w:t>
      </w:r>
    </w:p>
    <w:p>
      <w:pPr>
        <w:widowControl/>
        <w:spacing w:line="360" w:lineRule="auto"/>
        <w:ind w:firstLine="42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a.比选人在启封前开启比选申请文件并将有关信息泄露给其他比选申请人;</w:t>
      </w:r>
    </w:p>
    <w:p>
      <w:pPr>
        <w:widowControl/>
        <w:spacing w:line="360" w:lineRule="auto"/>
        <w:ind w:firstLine="42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b.比选人直接或间接向比选申请人泄露标底、评审委员会成员等信息；</w:t>
      </w:r>
    </w:p>
    <w:p>
      <w:pPr>
        <w:widowControl/>
        <w:spacing w:line="360" w:lineRule="auto"/>
        <w:ind w:firstLine="42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c.比选人明示或暗示比选申请人压低或抬高比选报价；</w:t>
      </w:r>
    </w:p>
    <w:p>
      <w:pPr>
        <w:widowControl/>
        <w:spacing w:line="360" w:lineRule="auto"/>
        <w:ind w:firstLine="42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d.比选人授意比选申请人撤换、修改比选申请文件；</w:t>
      </w:r>
    </w:p>
    <w:p>
      <w:pPr>
        <w:widowControl/>
        <w:spacing w:line="360" w:lineRule="auto"/>
        <w:ind w:firstLine="42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e.比选人明示或暗示比选申请人为特定比选申请人中标提供方便；</w:t>
      </w:r>
    </w:p>
    <w:p>
      <w:pPr>
        <w:autoSpaceDE w:val="0"/>
        <w:autoSpaceDN w:val="0"/>
        <w:spacing w:line="360" w:lineRule="auto"/>
        <w:ind w:firstLine="42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f.比选人与比选申请人为谋求特定比选申请人中标而采取的其他串通行为。</w:t>
      </w:r>
    </w:p>
    <w:p>
      <w:pPr>
        <w:widowControl/>
        <w:spacing w:line="360" w:lineRule="auto"/>
        <w:ind w:firstLine="280" w:firstLineChars="1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（4）比选申请人有下列情形之一的，属于弄虚作假的行为：</w:t>
      </w:r>
    </w:p>
    <w:p>
      <w:pPr>
        <w:widowControl/>
        <w:spacing w:line="360" w:lineRule="auto"/>
        <w:ind w:firstLine="42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a.使用通过受让或租借等方式获取的资格、资质证书比选；</w:t>
      </w:r>
    </w:p>
    <w:p>
      <w:pPr>
        <w:widowControl/>
        <w:spacing w:line="360" w:lineRule="auto"/>
        <w:ind w:firstLine="42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b.使用伪造、变造的许可证件；</w:t>
      </w:r>
    </w:p>
    <w:p>
      <w:pPr>
        <w:widowControl/>
        <w:spacing w:line="360" w:lineRule="auto"/>
        <w:ind w:firstLine="42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c.提供虚假的业绩；</w:t>
      </w:r>
    </w:p>
    <w:p>
      <w:pPr>
        <w:widowControl/>
        <w:spacing w:line="360" w:lineRule="auto"/>
        <w:ind w:firstLine="42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d.提供虚假的项目经理或项目总工简历、劳动关系证明；</w:t>
      </w:r>
    </w:p>
    <w:p>
      <w:pPr>
        <w:widowControl/>
        <w:spacing w:line="360" w:lineRule="auto"/>
        <w:ind w:firstLine="42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e.提供虚假的信用状况； </w:t>
      </w:r>
    </w:p>
    <w:p>
      <w:pPr>
        <w:pStyle w:val="51"/>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f.其他弄虚作假的行为。</w:t>
      </w:r>
    </w:p>
    <w:p>
      <w:pPr>
        <w:tabs>
          <w:tab w:val="left" w:pos="315"/>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3.4比选申请文件的澄清和说明</w:t>
      </w:r>
    </w:p>
    <w:p>
      <w:pPr>
        <w:widowControl/>
        <w:spacing w:line="360" w:lineRule="auto"/>
        <w:ind w:firstLine="400"/>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3.4.1</w:t>
      </w:r>
      <w:r>
        <w:rPr>
          <w:rFonts w:hint="eastAsia" w:ascii="仿宋_GB2312" w:hAnsi="仿宋_GB2312" w:eastAsia="仿宋_GB2312" w:cs="仿宋_GB2312"/>
          <w:kern w:val="0"/>
          <w:sz w:val="28"/>
          <w:szCs w:val="28"/>
        </w:rPr>
        <w:t xml:space="preserve"> 在评审过程中，评审委员会可以书面形式要求比选申请人对比选申请文件中含义不明确的内容、明显文字或计算错误进行书面澄清或说明。评审委员会不接受比选申请人主动提出的澄清、说明。比选申请人不按评审委员会要求澄清或说明的，评审委员会应否决其比选。 </w:t>
      </w:r>
    </w:p>
    <w:p>
      <w:pPr>
        <w:widowControl/>
        <w:spacing w:line="360" w:lineRule="auto"/>
        <w:ind w:firstLine="400"/>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 xml:space="preserve">3.4.2 </w:t>
      </w:r>
      <w:r>
        <w:rPr>
          <w:rFonts w:hint="eastAsia" w:ascii="仿宋_GB2312" w:hAnsi="仿宋_GB2312" w:eastAsia="仿宋_GB2312" w:cs="仿宋_GB2312"/>
          <w:kern w:val="0"/>
          <w:sz w:val="28"/>
          <w:szCs w:val="28"/>
        </w:rPr>
        <w:t xml:space="preserve">澄清和说明不得超出比选申请文件的范围或改变比选申请文件的实质性内容（算术性错误的修正除外）。比选申请人的书面澄清、说明属于比选申请文件的组成部分。 </w:t>
      </w:r>
    </w:p>
    <w:p>
      <w:pPr>
        <w:widowControl/>
        <w:spacing w:line="360" w:lineRule="auto"/>
        <w:ind w:firstLine="400"/>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 xml:space="preserve">3.4.3 </w:t>
      </w:r>
      <w:r>
        <w:rPr>
          <w:rFonts w:hint="eastAsia" w:ascii="仿宋_GB2312" w:hAnsi="仿宋_GB2312" w:eastAsia="仿宋_GB2312" w:cs="仿宋_GB2312"/>
          <w:kern w:val="0"/>
          <w:sz w:val="28"/>
          <w:szCs w:val="28"/>
        </w:rPr>
        <w:t xml:space="preserve">评审委员会不得暗示或诱导比选申请人作出澄清、说明，对比选申请人提交的澄清、说明有疑问的，可以要求比选申请人进一步澄清或说明，直至满足评审委员会的要求。 </w:t>
      </w:r>
    </w:p>
    <w:p>
      <w:pPr>
        <w:pStyle w:val="18"/>
        <w:spacing w:line="360" w:lineRule="auto"/>
        <w:ind w:firstLine="4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3.4.4</w:t>
      </w:r>
      <w:r>
        <w:rPr>
          <w:rFonts w:hint="eastAsia" w:ascii="仿宋_GB2312" w:hAnsi="仿宋_GB2312" w:eastAsia="仿宋_GB2312" w:cs="仿宋_GB2312"/>
          <w:sz w:val="28"/>
          <w:szCs w:val="28"/>
        </w:rPr>
        <w:t xml:space="preserve"> 凡超出比选文件规定的或给发包人带来未曾要求的利益的变化、偏差或其他因素在评审时不予考虑。</w:t>
      </w:r>
    </w:p>
    <w:p>
      <w:pPr>
        <w:tabs>
          <w:tab w:val="left" w:pos="315"/>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3.5不得否决比选的情形</w:t>
      </w:r>
    </w:p>
    <w:p>
      <w:pPr>
        <w:tabs>
          <w:tab w:val="left" w:pos="315"/>
        </w:tabs>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比选申请文件存在 “评审办法前附表”之外情形的，均视为细微偏差，评审委员会不得否决</w:t>
      </w:r>
    </w:p>
    <w:p>
      <w:pPr>
        <w:tabs>
          <w:tab w:val="left" w:pos="315"/>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3.6评审结果</w:t>
      </w:r>
    </w:p>
    <w:p>
      <w:pPr>
        <w:pStyle w:val="18"/>
        <w:spacing w:line="360" w:lineRule="auto"/>
        <w:ind w:firstLine="4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3.6.1</w:t>
      </w:r>
      <w:r>
        <w:rPr>
          <w:rFonts w:hint="eastAsia" w:ascii="仿宋_GB2312" w:hAnsi="仿宋_GB2312" w:eastAsia="仿宋_GB2312" w:cs="仿宋_GB2312"/>
          <w:sz w:val="28"/>
          <w:szCs w:val="28"/>
        </w:rPr>
        <w:t>评审委员会按照得分由高到低的顺序推荐</w:t>
      </w:r>
      <w:r>
        <w:rPr>
          <w:rFonts w:hint="eastAsia" w:ascii="仿宋_GB2312" w:hAnsi="仿宋_GB2312" w:eastAsia="仿宋_GB2312" w:cs="仿宋_GB2312"/>
          <w:sz w:val="28"/>
          <w:szCs w:val="28"/>
          <w:lang w:eastAsia="zh-CN"/>
        </w:rPr>
        <w:t>中选候选人</w:t>
      </w:r>
      <w:r>
        <w:rPr>
          <w:rFonts w:hint="eastAsia" w:ascii="仿宋_GB2312" w:hAnsi="仿宋_GB2312" w:eastAsia="仿宋_GB2312" w:cs="仿宋_GB2312"/>
          <w:sz w:val="28"/>
          <w:szCs w:val="28"/>
        </w:rPr>
        <w:t>，并标明排序。</w:t>
      </w:r>
    </w:p>
    <w:p>
      <w:pPr>
        <w:pStyle w:val="18"/>
        <w:spacing w:line="360" w:lineRule="auto"/>
        <w:ind w:firstLine="42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3.6.2</w:t>
      </w:r>
      <w:r>
        <w:rPr>
          <w:rFonts w:hint="eastAsia" w:ascii="仿宋_GB2312" w:hAnsi="仿宋_GB2312" w:eastAsia="仿宋_GB2312" w:cs="仿宋_GB2312"/>
          <w:sz w:val="28"/>
          <w:szCs w:val="28"/>
        </w:rPr>
        <w:t xml:space="preserve"> 评审委员会完成评审后，应当向比选人提交书面评审报告。</w:t>
      </w:r>
    </w:p>
    <w:p>
      <w:pPr>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br w:type="page"/>
      </w:r>
    </w:p>
    <w:p>
      <w:pPr>
        <w:pStyle w:val="18"/>
        <w:spacing w:line="360" w:lineRule="auto"/>
        <w:ind w:firstLine="420"/>
        <w:jc w:val="center"/>
        <w:rPr>
          <w:rFonts w:hint="eastAsia" w:ascii="仿宋" w:hAnsi="仿宋" w:eastAsia="仿宋" w:cs="仿宋"/>
          <w:sz w:val="21"/>
          <w:szCs w:val="21"/>
        </w:rPr>
      </w:pPr>
    </w:p>
    <w:p>
      <w:pPr>
        <w:pStyle w:val="18"/>
        <w:spacing w:line="360" w:lineRule="auto"/>
        <w:ind w:firstLine="420"/>
        <w:jc w:val="center"/>
        <w:rPr>
          <w:rFonts w:hint="eastAsia" w:ascii="仿宋" w:hAnsi="仿宋" w:eastAsia="仿宋" w:cs="仿宋"/>
          <w:sz w:val="21"/>
          <w:szCs w:val="21"/>
        </w:rPr>
      </w:pPr>
    </w:p>
    <w:p>
      <w:pPr>
        <w:pStyle w:val="18"/>
        <w:spacing w:line="360" w:lineRule="auto"/>
        <w:ind w:firstLine="420"/>
        <w:jc w:val="center"/>
        <w:rPr>
          <w:rFonts w:hint="eastAsia" w:ascii="仿宋" w:hAnsi="仿宋" w:eastAsia="仿宋" w:cs="仿宋"/>
          <w:sz w:val="21"/>
          <w:szCs w:val="21"/>
        </w:rPr>
      </w:pPr>
    </w:p>
    <w:p>
      <w:pPr>
        <w:pStyle w:val="18"/>
        <w:spacing w:line="360" w:lineRule="auto"/>
        <w:ind w:firstLine="420"/>
        <w:jc w:val="center"/>
        <w:rPr>
          <w:rFonts w:hint="eastAsia" w:ascii="仿宋" w:hAnsi="仿宋" w:eastAsia="仿宋" w:cs="仿宋"/>
          <w:sz w:val="21"/>
          <w:szCs w:val="21"/>
        </w:rPr>
      </w:pPr>
    </w:p>
    <w:p>
      <w:pPr>
        <w:pStyle w:val="18"/>
        <w:spacing w:line="360" w:lineRule="auto"/>
        <w:ind w:firstLine="420"/>
        <w:jc w:val="center"/>
        <w:rPr>
          <w:rFonts w:hint="eastAsia" w:ascii="仿宋" w:hAnsi="仿宋" w:eastAsia="仿宋" w:cs="仿宋"/>
          <w:sz w:val="21"/>
          <w:szCs w:val="21"/>
        </w:rPr>
      </w:pPr>
    </w:p>
    <w:p>
      <w:pPr>
        <w:pStyle w:val="18"/>
        <w:spacing w:line="360" w:lineRule="auto"/>
        <w:ind w:firstLine="420"/>
        <w:jc w:val="center"/>
        <w:rPr>
          <w:rFonts w:hint="eastAsia" w:ascii="仿宋" w:hAnsi="仿宋" w:eastAsia="仿宋" w:cs="仿宋"/>
          <w:sz w:val="21"/>
          <w:szCs w:val="21"/>
        </w:rPr>
      </w:pPr>
    </w:p>
    <w:p>
      <w:pPr>
        <w:pStyle w:val="18"/>
        <w:spacing w:line="360" w:lineRule="auto"/>
        <w:ind w:firstLine="420"/>
        <w:jc w:val="center"/>
        <w:rPr>
          <w:rFonts w:hint="eastAsia" w:ascii="仿宋" w:hAnsi="仿宋" w:eastAsia="仿宋" w:cs="仿宋"/>
          <w:sz w:val="21"/>
          <w:szCs w:val="21"/>
        </w:rPr>
      </w:pPr>
    </w:p>
    <w:p>
      <w:pPr>
        <w:pStyle w:val="18"/>
        <w:spacing w:line="360" w:lineRule="auto"/>
        <w:ind w:firstLine="420"/>
        <w:jc w:val="center"/>
        <w:rPr>
          <w:rFonts w:hint="eastAsia" w:ascii="仿宋" w:hAnsi="仿宋" w:eastAsia="仿宋" w:cs="仿宋"/>
          <w:sz w:val="21"/>
          <w:szCs w:val="21"/>
        </w:rPr>
      </w:pPr>
    </w:p>
    <w:p>
      <w:pPr>
        <w:pStyle w:val="18"/>
        <w:spacing w:line="360" w:lineRule="auto"/>
        <w:ind w:firstLine="420"/>
        <w:jc w:val="center"/>
        <w:rPr>
          <w:rFonts w:hint="eastAsia" w:ascii="仿宋" w:hAnsi="仿宋" w:eastAsia="仿宋" w:cs="仿宋"/>
          <w:sz w:val="21"/>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p>
    <w:p>
      <w:pPr>
        <w:pStyle w:val="5"/>
        <w:jc w:val="center"/>
        <w:rPr>
          <w:rFonts w:hint="eastAsia" w:ascii="仿宋" w:hAnsi="仿宋" w:eastAsia="仿宋" w:cs="仿宋"/>
        </w:rPr>
      </w:pPr>
      <w:bookmarkStart w:id="62" w:name="_Toc4730"/>
      <w:bookmarkStart w:id="63" w:name="_Toc528624782"/>
      <w:r>
        <w:rPr>
          <w:rFonts w:hint="eastAsia" w:ascii="仿宋" w:hAnsi="仿宋" w:eastAsia="仿宋" w:cs="仿宋"/>
        </w:rPr>
        <w:t>第四篇  合同条款及格式</w:t>
      </w:r>
      <w:bookmarkEnd w:id="62"/>
      <w:bookmarkEnd w:id="63"/>
    </w:p>
    <w:p>
      <w:pPr>
        <w:rPr>
          <w:sz w:val="36"/>
          <w:szCs w:val="36"/>
        </w:rPr>
      </w:pPr>
      <w:r>
        <w:rPr>
          <w:rFonts w:hint="eastAsia"/>
          <w:sz w:val="36"/>
          <w:szCs w:val="36"/>
        </w:rPr>
        <w:br w:type="page"/>
      </w:r>
    </w:p>
    <w:bookmarkEnd w:id="43"/>
    <w:bookmarkEnd w:id="46"/>
    <w:bookmarkEnd w:id="47"/>
    <w:bookmarkEnd w:id="48"/>
    <w:bookmarkEnd w:id="49"/>
    <w:bookmarkEnd w:id="50"/>
    <w:bookmarkEnd w:id="51"/>
    <w:bookmarkEnd w:id="52"/>
    <w:bookmarkEnd w:id="53"/>
    <w:bookmarkEnd w:id="54"/>
    <w:bookmarkEnd w:id="55"/>
    <w:p>
      <w:pPr>
        <w:spacing w:line="360" w:lineRule="auto"/>
        <w:jc w:val="left"/>
        <w:rPr>
          <w:rFonts w:hint="eastAsia" w:ascii="仿宋" w:hAnsi="仿宋" w:eastAsia="仿宋" w:cs="仿宋"/>
          <w:b/>
          <w:bCs/>
          <w:sz w:val="24"/>
          <w:szCs w:val="32"/>
        </w:rPr>
      </w:pPr>
      <w:r>
        <w:rPr>
          <w:rFonts w:hint="eastAsia" w:ascii="仿宋_GB2312" w:hAnsi="仿宋_GB2312" w:eastAsia="仿宋_GB2312" w:cs="仿宋_GB2312"/>
          <w:sz w:val="28"/>
          <w:szCs w:val="28"/>
        </w:rPr>
        <w:t>一、合同协议书格式</w:t>
      </w:r>
    </w:p>
    <w:p>
      <w:pPr>
        <w:spacing w:line="36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四川成渝高速公路股份有限公司公路运营管理一分公司</w:t>
      </w:r>
    </w:p>
    <w:p>
      <w:pPr>
        <w:spacing w:line="36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双重预防机制建设和安全生产标准化二级达标创建技术服务项目</w:t>
      </w:r>
      <w:r>
        <w:rPr>
          <w:rFonts w:hint="eastAsia" w:ascii="仿宋_GB2312" w:hAnsi="仿宋_GB2312" w:eastAsia="仿宋_GB2312" w:cs="仿宋_GB2312"/>
          <w:b/>
          <w:bCs/>
          <w:sz w:val="28"/>
          <w:szCs w:val="28"/>
        </w:rPr>
        <w:t>合同协议书</w:t>
      </w:r>
    </w:p>
    <w:p>
      <w:pPr>
        <w:spacing w:line="360" w:lineRule="auto"/>
        <w:ind w:firstLine="420" w:firstLineChars="200"/>
        <w:jc w:val="righ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合同编号：</w:t>
      </w:r>
    </w:p>
    <w:p>
      <w:pPr>
        <w:spacing w:line="360" w:lineRule="auto"/>
        <w:ind w:firstLine="420" w:firstLineChars="200"/>
        <w:rPr>
          <w:rFonts w:hint="eastAsia" w:ascii="仿宋_GB2312" w:hAnsi="仿宋_GB2312" w:eastAsia="仿宋_GB2312" w:cs="仿宋_GB2312"/>
        </w:rPr>
      </w:pP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甲方（委托人）：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乙方（受托人）：                </w:t>
      </w:r>
    </w:p>
    <w:p>
      <w:pPr>
        <w:spacing w:line="360" w:lineRule="auto"/>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根据《中华人民共和国民法典》及有关法律、法规，遵循平等、自愿、公平和诚实信用的原则，双方就</w:t>
      </w:r>
      <w:r>
        <w:rPr>
          <w:rFonts w:hint="eastAsia" w:ascii="仿宋_GB2312" w:hAnsi="仿宋_GB2312" w:eastAsia="仿宋_GB2312" w:cs="仿宋_GB2312"/>
          <w:sz w:val="28"/>
          <w:szCs w:val="28"/>
          <w:u w:val="single"/>
        </w:rPr>
        <w:t xml:space="preserve">             XX</w:t>
      </w:r>
      <w:r>
        <w:rPr>
          <w:rFonts w:hint="eastAsia" w:ascii="仿宋_GB2312" w:hAnsi="仿宋_GB2312" w:eastAsia="仿宋_GB2312" w:cs="仿宋_GB2312"/>
          <w:sz w:val="28"/>
          <w:szCs w:val="28"/>
        </w:rPr>
        <w:t>项目事项协商一致，并达成如下协议：</w:t>
      </w:r>
    </w:p>
    <w:p>
      <w:pPr>
        <w:spacing w:line="360" w:lineRule="auto"/>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一、项目概况</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1、委托人名称：                 </w:t>
      </w:r>
    </w:p>
    <w:p>
      <w:pPr>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2、委托人地址：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3、服务内容</w:t>
      </w:r>
    </w:p>
    <w:p>
      <w:pPr>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开展四川成渝高速公路股份有限公司公路运营管理一分公司双重预防机制重构和安全生产标准化技术服务，</w:t>
      </w:r>
      <w:r>
        <w:rPr>
          <w:rFonts w:hint="eastAsia" w:ascii="仿宋_GB2312" w:hAnsi="仿宋_GB2312" w:eastAsia="仿宋_GB2312" w:cs="仿宋_GB2312"/>
          <w:b/>
          <w:bCs/>
          <w:sz w:val="28"/>
          <w:szCs w:val="28"/>
        </w:rPr>
        <w:t>具体服务内容及要求见附件。</w:t>
      </w:r>
    </w:p>
    <w:p>
      <w:pPr>
        <w:snapToGrid w:val="0"/>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乙方提供改的服务内容及其成果文件应当符合法律、法规、地方规章、相关国家/地方/行业标准以及甲方的要求。</w:t>
      </w:r>
    </w:p>
    <w:p>
      <w:p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二、技术服务机构概况</w:t>
      </w:r>
    </w:p>
    <w:p>
      <w:pPr>
        <w:spacing w:line="360" w:lineRule="auto"/>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1、技术服务机构名称：</w:t>
      </w:r>
      <w:r>
        <w:rPr>
          <w:rFonts w:hint="eastAsia" w:ascii="仿宋_GB2312" w:hAnsi="仿宋_GB2312" w:eastAsia="仿宋_GB2312" w:cs="仿宋_GB2312"/>
          <w:sz w:val="28"/>
          <w:szCs w:val="28"/>
          <w:u w:val="single"/>
        </w:rPr>
        <w:t xml:space="preserve">                     </w:t>
      </w:r>
    </w:p>
    <w:p>
      <w:pPr>
        <w:spacing w:line="360" w:lineRule="auto"/>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2、技术服务机构地址：</w:t>
      </w:r>
      <w:r>
        <w:rPr>
          <w:rFonts w:hint="eastAsia" w:ascii="仿宋_GB2312" w:hAnsi="仿宋_GB2312" w:eastAsia="仿宋_GB2312" w:cs="仿宋_GB2312"/>
          <w:sz w:val="28"/>
          <w:szCs w:val="28"/>
          <w:u w:val="single"/>
        </w:rPr>
        <w:t xml:space="preserve">                     </w:t>
      </w:r>
    </w:p>
    <w:p>
      <w:pPr>
        <w:spacing w:line="360" w:lineRule="auto"/>
        <w:ind w:firstLine="560" w:firstLineChars="20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3、项目负责人：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姓名、职称 ），联系电话：</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，联系地址：</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w:t>
      </w:r>
    </w:p>
    <w:p>
      <w:pPr>
        <w:adjustRightInd w:val="0"/>
        <w:snapToGrid w:val="0"/>
        <w:spacing w:line="360" w:lineRule="auto"/>
        <w:ind w:firstLine="562"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三、服务期限</w:t>
      </w:r>
    </w:p>
    <w:p>
      <w:pPr>
        <w:adjustRightInd w:val="0"/>
        <w:snapToGrid w:val="0"/>
        <w:spacing w:line="360" w:lineRule="auto"/>
        <w:ind w:firstLine="560"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双方合同签订之日起，合同期限为1年。乙方应当在合同期限内完成本合同项下全部服务、提供成果文件且通过甲方的验收。</w:t>
      </w:r>
    </w:p>
    <w:p>
      <w:pPr>
        <w:adjustRightInd w:val="0"/>
        <w:snapToGrid w:val="0"/>
        <w:spacing w:line="360" w:lineRule="auto"/>
        <w:ind w:firstLine="562"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四、双方的责任和义务</w:t>
      </w:r>
    </w:p>
    <w:p>
      <w:pPr>
        <w:spacing w:line="360" w:lineRule="auto"/>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（一）甲方的权利和义务</w:t>
      </w:r>
    </w:p>
    <w:p>
      <w:pPr>
        <w:tabs>
          <w:tab w:val="left" w:pos="312"/>
        </w:tabs>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1.按合同约定的服务内容</w:t>
      </w:r>
      <w:r>
        <w:rPr>
          <w:rFonts w:hint="eastAsia" w:ascii="仿宋_GB2312" w:hAnsi="仿宋_GB2312" w:eastAsia="仿宋_GB2312" w:cs="仿宋_GB2312"/>
          <w:sz w:val="28"/>
          <w:szCs w:val="28"/>
          <w:lang w:val="en-US" w:eastAsia="zh-CN"/>
        </w:rPr>
        <w:t>验收、</w:t>
      </w:r>
      <w:r>
        <w:rPr>
          <w:rFonts w:hint="eastAsia" w:ascii="仿宋_GB2312" w:hAnsi="仿宋_GB2312" w:eastAsia="仿宋_GB2312" w:cs="仿宋_GB2312"/>
          <w:sz w:val="28"/>
          <w:szCs w:val="28"/>
        </w:rPr>
        <w:t>接收项目成果；</w:t>
      </w:r>
    </w:p>
    <w:p>
      <w:pPr>
        <w:tabs>
          <w:tab w:val="left" w:pos="312"/>
        </w:tabs>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2.向乙方询问本合同项目工作咨询进展情况和相关内容或提出意见</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建议；</w:t>
      </w:r>
    </w:p>
    <w:p>
      <w:pPr>
        <w:tabs>
          <w:tab w:val="left" w:pos="312"/>
        </w:tabs>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3.本合同履行期间，由于乙方不履行合同约定的内容， 给甲方造成损失或影响工作正常进行的，甲方有权终止本合同，并依法向乙方追索经济赔偿，直至追究法律责任。</w:t>
      </w:r>
    </w:p>
    <w:p>
      <w:pPr>
        <w:tabs>
          <w:tab w:val="left" w:pos="312"/>
        </w:tabs>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4.为乙方提供该项目的相关资料，并对其真实性、合法性负责；</w:t>
      </w:r>
    </w:p>
    <w:p>
      <w:pPr>
        <w:tabs>
          <w:tab w:val="left" w:pos="312"/>
        </w:tabs>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5.接收乙方交付的咨询成果；</w:t>
      </w:r>
    </w:p>
    <w:p>
      <w:pPr>
        <w:tabs>
          <w:tab w:val="left" w:pos="312"/>
        </w:tabs>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6.支付技术服务费用。</w:t>
      </w:r>
    </w:p>
    <w:p>
      <w:pPr>
        <w:spacing w:line="360" w:lineRule="auto"/>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（二）受托方的权利和义务</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1.乙方在甲方付款前提供合法合规的发票，按合同约定收取技术服务报酬。</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2.按合同约定期限</w:t>
      </w:r>
      <w:r>
        <w:rPr>
          <w:rFonts w:hint="eastAsia" w:ascii="仿宋_GB2312" w:hAnsi="仿宋_GB2312" w:eastAsia="仿宋_GB2312" w:cs="仿宋_GB2312"/>
          <w:bCs/>
          <w:sz w:val="28"/>
          <w:szCs w:val="28"/>
          <w:lang w:val="en-US" w:eastAsia="zh-CN"/>
        </w:rPr>
        <w:t>提供服务、</w:t>
      </w:r>
      <w:r>
        <w:rPr>
          <w:rFonts w:hint="eastAsia" w:ascii="仿宋_GB2312" w:hAnsi="仿宋_GB2312" w:eastAsia="仿宋_GB2312" w:cs="仿宋_GB2312"/>
          <w:bCs/>
          <w:sz w:val="28"/>
          <w:szCs w:val="28"/>
        </w:rPr>
        <w:t>提交技术咨询成果</w:t>
      </w:r>
      <w:r>
        <w:rPr>
          <w:rFonts w:hint="eastAsia" w:ascii="仿宋_GB2312" w:hAnsi="仿宋_GB2312" w:eastAsia="仿宋_GB2312" w:cs="仿宋_GB2312"/>
          <w:bCs/>
          <w:sz w:val="28"/>
          <w:szCs w:val="28"/>
          <w:lang w:val="en-US" w:eastAsia="zh-CN"/>
        </w:rPr>
        <w:t>文件</w:t>
      </w:r>
      <w:r>
        <w:rPr>
          <w:rFonts w:hint="eastAsia" w:ascii="仿宋_GB2312" w:hAnsi="仿宋_GB2312" w:eastAsia="仿宋_GB2312" w:cs="仿宋_GB2312"/>
          <w:bCs/>
          <w:sz w:val="28"/>
          <w:szCs w:val="28"/>
        </w:rPr>
        <w:t>。合同履行期内和合同终止后，未经甲方书面同意，乙方不得泄漏与本合同项目相关的的任何资料和情况，保密期限为长期，直至相关信息、资料被依法公开之日为止。</w:t>
      </w:r>
    </w:p>
    <w:p>
      <w:pPr>
        <w:spacing w:line="360" w:lineRule="auto"/>
        <w:ind w:firstLine="560" w:firstLineChars="200"/>
        <w:rPr>
          <w:rFonts w:hint="eastAsia" w:ascii="仿宋_GB2312" w:hAnsi="仿宋_GB2312" w:eastAsia="仿宋_GB2312" w:cs="仿宋_GB2312"/>
          <w:bCs/>
          <w:color w:val="FF0000"/>
          <w:sz w:val="28"/>
          <w:szCs w:val="28"/>
          <w:u w:val="single"/>
        </w:rPr>
      </w:pPr>
      <w:r>
        <w:rPr>
          <w:rFonts w:hint="eastAsia" w:ascii="仿宋_GB2312" w:hAnsi="仿宋_GB2312" w:eastAsia="仿宋_GB2312" w:cs="仿宋_GB2312"/>
          <w:bCs/>
          <w:sz w:val="28"/>
          <w:szCs w:val="28"/>
        </w:rPr>
        <w:t>3.乙方组织现场踏勘工作或开展其他工作时应严格按照《中华人民共和国安全生产法》《四川省安全生产条例》《四川高速公路条例》及《交通运输企业安全生产标准化建设基本规范》等法律法规及规范的规定，建立健全安全生产组织体系和责任体系，落实安全生产保障措施，严格按照安全标准进行作业，采取必要的安全防护措施并对乙方人员进行安全生产教育和管理；健全组织制度，指定主要人员负责安全工作，确保作业人员和车辆、设备的安全，并确保不对高速公路运营造成安全隐患、不对甲方及/或任何第三方造成财产损失、人身损害。踏勘过程中的安全责任由乙方承担，甲方被要求承担的，有权向乙方要求全额追偿，追偿范围包括但不限于甲方因此支付的赔偿款、律师费、诉讼费、差旅费、保全费、保全保险担保费、罚款等。</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4.为实施本合同项目现场踏勘工作，乙方现场踏勘工作时应服从甲方及高交、执法等行业主管部门的检查和指导。</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乙方应当在本合同签订之日向甲方提出完整、清晰、明确的《资料清单》，甲方应在收到《资料清单》后按照乙方提出的《资料清单》提供本项目所需的相关资料，并为乙方提供必要的工作条件。乙方提供的资料清单要求不完整、不准确等乙方原因导致甲方需补充提供资料的，不作为服务期限顺延的事由。</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6.乙方确认自身具有签订本合同、提供本合同所涉服务的资质，若因乙方不具有相应资质而给甲方造成损失的，乙方应当予以赔偿，且甲方有权解除合同。</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7.乙方保证提供给甲方的服务不得侵犯任何第三方的合法权益。如出现第三方对乙方的服务提出异议的，甲方有权拒绝并立即通知乙方，由乙方自行处理由此导致的问题，并且乙方应在自行承担相关费用的情况下按照甲方之要求采取必要的补救措施确保甲方的损失降至最低。若给甲方造成损失的，乙方应当予以赔偿。</w:t>
      </w:r>
    </w:p>
    <w:p>
      <w:pPr>
        <w:adjustRightInd/>
        <w:snapToGrid/>
        <w:spacing w:line="360" w:lineRule="auto"/>
        <w:ind w:firstLine="560"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bCs/>
          <w:sz w:val="28"/>
          <w:szCs w:val="28"/>
        </w:rPr>
        <w:t>8.乙方对技术服务工作质量负责，若因乙方原因给甲方造成损失的，乙方应当予以赔偿</w:t>
      </w:r>
    </w:p>
    <w:p>
      <w:pPr>
        <w:adjustRightInd w:val="0"/>
        <w:snapToGrid w:val="0"/>
        <w:spacing w:line="360" w:lineRule="auto"/>
        <w:ind w:firstLine="562"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五、技术服务费用及支付方式</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（一）技术服务费：人民币</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sz w:val="28"/>
          <w:szCs w:val="28"/>
          <w:u w:val="single"/>
        </w:rPr>
        <w:t>XX.XX</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 xml:space="preserve">元（大写：人民币 </w:t>
      </w:r>
      <w:r>
        <w:rPr>
          <w:rFonts w:hint="eastAsia" w:ascii="仿宋_GB2312" w:hAnsi="仿宋_GB2312" w:eastAsia="仿宋_GB2312" w:cs="仿宋_GB2312"/>
          <w:sz w:val="28"/>
          <w:szCs w:val="28"/>
          <w:u w:val="single"/>
        </w:rPr>
        <w:t>XX</w:t>
      </w:r>
      <w:r>
        <w:rPr>
          <w:rFonts w:hint="eastAsia" w:ascii="仿宋_GB2312" w:hAnsi="仿宋_GB2312" w:eastAsia="仿宋_GB2312" w:cs="仿宋_GB2312"/>
          <w:bCs/>
          <w:sz w:val="28"/>
          <w:szCs w:val="28"/>
        </w:rPr>
        <w:t>），其中各项目报价分别为安全生产标准化板块价格为人民币XXXXXX元（大写：XXXX），双重预防机制板块价格为人民币XXXXXX元（大写：XXXX）。该费用</w:t>
      </w:r>
      <w:r>
        <w:rPr>
          <w:rFonts w:hint="eastAsia" w:ascii="仿宋_GB2312" w:hAnsi="仿宋_GB2312" w:eastAsia="仿宋_GB2312" w:cs="仿宋_GB2312"/>
          <w:bCs/>
          <w:sz w:val="28"/>
          <w:szCs w:val="28"/>
          <w:lang w:val="en-US" w:eastAsia="zh-CN"/>
        </w:rPr>
        <w:t>为含税</w:t>
      </w:r>
      <w:r>
        <w:rPr>
          <w:rFonts w:hint="eastAsia" w:ascii="仿宋_GB2312" w:hAnsi="仿宋_GB2312" w:eastAsia="仿宋_GB2312" w:cs="仿宋_GB2312"/>
          <w:bCs/>
          <w:sz w:val="28"/>
          <w:szCs w:val="28"/>
        </w:rPr>
        <w:t>包干</w:t>
      </w:r>
      <w:r>
        <w:rPr>
          <w:rFonts w:hint="eastAsia" w:ascii="仿宋_GB2312" w:hAnsi="仿宋_GB2312" w:eastAsia="仿宋_GB2312" w:cs="仿宋_GB2312"/>
          <w:bCs/>
          <w:sz w:val="28"/>
          <w:szCs w:val="28"/>
          <w:lang w:val="en-US" w:eastAsia="zh-CN"/>
        </w:rPr>
        <w:t>费用</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由乙方包干使用，</w:t>
      </w:r>
      <w:r>
        <w:rPr>
          <w:rFonts w:hint="eastAsia" w:ascii="仿宋_GB2312" w:hAnsi="仿宋_GB2312" w:eastAsia="仿宋_GB2312" w:cs="仿宋_GB2312"/>
          <w:sz w:val="28"/>
          <w:szCs w:val="28"/>
        </w:rPr>
        <w:t>包括但不限于</w:t>
      </w:r>
      <w:bookmarkStart w:id="64" w:name="OLE_LINK5"/>
      <w:r>
        <w:rPr>
          <w:rFonts w:hint="eastAsia" w:ascii="仿宋_GB2312" w:hAnsi="仿宋_GB2312" w:eastAsia="仿宋_GB2312" w:cs="仿宋_GB2312"/>
          <w:sz w:val="28"/>
          <w:szCs w:val="28"/>
        </w:rPr>
        <w:t>全过程技术咨询服务费、人工费、成果编制费、材料费、设备费、差旅费、</w:t>
      </w:r>
      <w:r>
        <w:rPr>
          <w:rFonts w:hint="eastAsia" w:ascii="仿宋_GB2312" w:hAnsi="仿宋_GB2312" w:eastAsia="仿宋_GB2312" w:cs="仿宋_GB2312"/>
          <w:sz w:val="28"/>
          <w:szCs w:val="28"/>
          <w:lang w:val="en-US" w:eastAsia="zh-CN"/>
        </w:rPr>
        <w:t>交通费、高速过路费、</w:t>
      </w:r>
      <w:r>
        <w:rPr>
          <w:rFonts w:hint="eastAsia" w:ascii="仿宋_GB2312" w:hAnsi="仿宋_GB2312" w:eastAsia="仿宋_GB2312" w:cs="仿宋_GB2312"/>
          <w:sz w:val="28"/>
          <w:szCs w:val="28"/>
        </w:rPr>
        <w:t>管理费、专家评审费、利润、税金、</w:t>
      </w:r>
      <w:bookmarkEnd w:id="64"/>
      <w:r>
        <w:rPr>
          <w:rFonts w:hint="eastAsia" w:ascii="仿宋_GB2312" w:hAnsi="仿宋_GB2312" w:eastAsia="仿宋_GB2312" w:cs="仿宋_GB2312"/>
          <w:sz w:val="28"/>
          <w:szCs w:val="28"/>
        </w:rPr>
        <w:t>不可预见费等一切费用以及合同表明的所有责任、义务和一般风险。除非双方另有约定，甲方不因乙方履行本协议而另行支付其他任何费用。</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（二）技术服务费用支付：</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1、合同签订之日起，</w:t>
      </w:r>
      <w:r>
        <w:rPr>
          <w:rFonts w:hint="eastAsia" w:ascii="仿宋_GB2312" w:hAnsi="仿宋_GB2312" w:eastAsia="仿宋_GB2312" w:cs="仿宋_GB2312"/>
          <w:bCs/>
          <w:sz w:val="28"/>
          <w:szCs w:val="28"/>
          <w:lang w:val="en-US" w:eastAsia="zh-CN"/>
        </w:rPr>
        <w:t>乙方</w:t>
      </w:r>
      <w:r>
        <w:rPr>
          <w:rFonts w:hint="eastAsia" w:ascii="仿宋_GB2312" w:hAnsi="仿宋_GB2312" w:eastAsia="仿宋_GB2312" w:cs="仿宋_GB2312"/>
          <w:bCs/>
          <w:sz w:val="28"/>
          <w:szCs w:val="28"/>
        </w:rPr>
        <w:t>完成全部合同内容并经甲方验收合格，且乙方提供符合甲方要求的发票后，甲方支付合同金额的100%。若乙方未能提供符合甲方要求的发票的，甲方有权顺延付款期限且不构成违约，乙方不得因此怠于或拒绝履行合同义务。</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2、若合同期限内，因国家法律法规、行业及主管部门相关政策规定或其他不可抗力因素导致其中一项或多项工作内容无法按合同履行的，不影响合同中其他工作内容的继续执行，</w:t>
      </w:r>
      <w:r>
        <w:rPr>
          <w:rFonts w:hint="eastAsia" w:ascii="仿宋_GB2312" w:hAnsi="仿宋_GB2312" w:eastAsia="仿宋_GB2312" w:cs="仿宋_GB2312"/>
          <w:bCs/>
          <w:sz w:val="28"/>
          <w:szCs w:val="28"/>
          <w:lang w:val="en-US" w:eastAsia="zh-CN"/>
        </w:rPr>
        <w:t>双方</w:t>
      </w:r>
      <w:r>
        <w:rPr>
          <w:rFonts w:hint="eastAsia" w:ascii="仿宋_GB2312" w:hAnsi="仿宋_GB2312" w:eastAsia="仿宋_GB2312" w:cs="仿宋_GB2312"/>
          <w:bCs/>
          <w:sz w:val="28"/>
          <w:szCs w:val="28"/>
        </w:rPr>
        <w:t>按实际完成工作内容进行剩余服务项目费用支付。</w:t>
      </w:r>
    </w:p>
    <w:p>
      <w:pPr>
        <w:spacing w:line="360" w:lineRule="auto"/>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六、违约责任及合同纠纷解决方式</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（一）委托方违约责任：</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1、由于委托方变更项目、规模、条件，而造成已完成的工作返工，委托方应按受托方实际增加的工作量增付费用，但委托方不承担受托方的预期收益且受托方应当提供材料证明增加的工作量及计价依据；</w:t>
      </w:r>
    </w:p>
    <w:p>
      <w:pPr>
        <w:spacing w:line="360" w:lineRule="auto"/>
        <w:ind w:firstLine="560" w:firstLineChars="200"/>
        <w:rPr>
          <w:rFonts w:hint="eastAsia" w:ascii="仿宋_GB2312" w:hAnsi="仿宋_GB2312" w:eastAsia="仿宋_GB2312" w:cs="仿宋_GB2312"/>
          <w:bCs/>
          <w:color w:val="FF0000"/>
          <w:sz w:val="28"/>
          <w:szCs w:val="28"/>
          <w:u w:val="single"/>
        </w:rPr>
      </w:pPr>
      <w:r>
        <w:rPr>
          <w:rFonts w:hint="eastAsia" w:ascii="仿宋_GB2312" w:hAnsi="仿宋_GB2312" w:eastAsia="仿宋_GB2312" w:cs="仿宋_GB2312"/>
          <w:bCs/>
          <w:sz w:val="28"/>
          <w:szCs w:val="28"/>
        </w:rPr>
        <w:t>2、在合同履行期间，委托方要求终止或解除合同的（但并非受托方原因造成），委托方应按受托方完成的实际工作量支付费用，除此之外，委托方不承担违约责任、赔偿损失等责任且不承担受托方的预期收益。</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（二）受托方违约责任：</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受托方未能按质按期完成工作任务的(委托方同意延长期限除外)则每延期5天(不足5天按5天计)，委托方将分别按相应阶段合同价的10%要求受托方支付违约金。延期超过10天时，委托方有权解除合同，按合同总价款的</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 xml:space="preserve">0%要求受托方支付违约金，并有权拒绝支付任何费用，已经支付的全部费用受托方应予以退还，除此之外受托方还应赔偿由此给委托方造成的损失。  </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2、受托方应确保其提供的成果文件的合法合规性、真实性、准确性、全面性，否则受托方应当赔偿给委托方造成的损失且退还委托方已经支付的全部费用。</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若违约金不足以弥补甲方损失（包括但不限于甲方另行委托第三方完成相关工作而增加的费用、直接经济损失、间接经济损失以及甲方为维护自身权益而产生的诉讼费、律师费、保全费等费用）的，甲方有权另行主张。</w:t>
      </w:r>
    </w:p>
    <w:p>
      <w:pPr>
        <w:spacing w:line="360" w:lineRule="auto"/>
        <w:ind w:firstLine="560" w:firstLineChars="200"/>
        <w:rPr>
          <w:rFonts w:hint="eastAsia" w:ascii="仿宋_GB2312" w:hAnsi="仿宋_GB2312" w:eastAsia="仿宋_GB2312" w:cs="仿宋_GB2312"/>
          <w:b/>
          <w:sz w:val="28"/>
          <w:szCs w:val="28"/>
        </w:rPr>
      </w:pPr>
      <w:r>
        <w:rPr>
          <w:rFonts w:hint="eastAsia" w:ascii="仿宋_GB2312" w:hAnsi="仿宋_GB2312" w:eastAsia="仿宋_GB2312" w:cs="仿宋_GB2312"/>
          <w:bCs/>
          <w:sz w:val="28"/>
          <w:szCs w:val="28"/>
        </w:rPr>
        <w:t>4.乙方将本合同的部分或全部转让给第三方实施的，甲方有权解除合同，并要求乙方承担合同总金额20%的违约金。</w:t>
      </w:r>
    </w:p>
    <w:p>
      <w:pPr>
        <w:spacing w:line="360" w:lineRule="auto"/>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九、合同纠纷解决方式</w:t>
      </w:r>
    </w:p>
    <w:p>
      <w:pPr>
        <w:adjustRightInd w:val="0"/>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在履行本合同的过程中发生争议，双方协商解决。协商不成，双方均同意向甲方所在地人民法院起诉。</w:t>
      </w:r>
    </w:p>
    <w:p>
      <w:pPr>
        <w:spacing w:line="360" w:lineRule="auto"/>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十、其他</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（一）本合同一式四份，双方各执两份。</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（二）本合同自双方签字和盖章后生效，待相关工作完成后协议失效。</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（三）本合同的未尽事宜，由双方协商并取得一致意见后，签署补充和修改文件，补充和修改文件应作为本合同的组成部分，与本合同具有同等法律效力。</w:t>
      </w:r>
    </w:p>
    <w:p>
      <w:pPr>
        <w:pStyle w:val="2"/>
        <w:rPr>
          <w:rFonts w:hint="eastAsia" w:ascii="仿宋_GB2312" w:hAnsi="仿宋_GB2312" w:eastAsia="仿宋_GB2312" w:cs="仿宋_GB2312"/>
          <w:bCs/>
          <w:sz w:val="28"/>
          <w:szCs w:val="28"/>
        </w:rPr>
      </w:pPr>
    </w:p>
    <w:p>
      <w:pPr>
        <w:rPr>
          <w:rFonts w:hint="eastAsia"/>
        </w:rPr>
      </w:pPr>
    </w:p>
    <w:p>
      <w:pPr>
        <w:pStyle w:val="2"/>
        <w:ind w:firstLine="560"/>
        <w:rPr>
          <w:rFonts w:hint="eastAsia" w:ascii="仿宋_GB2312" w:hAnsi="仿宋_GB2312" w:eastAsia="仿宋_GB2312" w:cs="仿宋_GB2312"/>
          <w:sz w:val="28"/>
          <w:szCs w:val="28"/>
        </w:rPr>
      </w:pPr>
    </w:p>
    <w:tbl>
      <w:tblPr>
        <w:tblStyle w:val="31"/>
        <w:tblW w:w="5000" w:type="pct"/>
        <w:tblInd w:w="0" w:type="dxa"/>
        <w:tblLayout w:type="autofit"/>
        <w:tblCellMar>
          <w:top w:w="0" w:type="dxa"/>
          <w:left w:w="108" w:type="dxa"/>
          <w:bottom w:w="0" w:type="dxa"/>
          <w:right w:w="108" w:type="dxa"/>
        </w:tblCellMar>
      </w:tblPr>
      <w:tblGrid>
        <w:gridCol w:w="4589"/>
        <w:gridCol w:w="4590"/>
      </w:tblGrid>
      <w:tr>
        <w:tblPrEx>
          <w:tblCellMar>
            <w:top w:w="0" w:type="dxa"/>
            <w:left w:w="108" w:type="dxa"/>
            <w:bottom w:w="0" w:type="dxa"/>
            <w:right w:w="108" w:type="dxa"/>
          </w:tblCellMar>
        </w:tblPrEx>
        <w:tc>
          <w:tcPr>
            <w:tcW w:w="2500" w:type="pct"/>
          </w:tcPr>
          <w:p>
            <w:pPr>
              <w:spacing w:line="360" w:lineRule="auto"/>
              <w:ind w:left="840" w:hanging="840" w:hanging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甲方：四川成渝高速公路股份有限公司公路运营管理一分公司</w:t>
            </w:r>
          </w:p>
        </w:tc>
        <w:tc>
          <w:tcPr>
            <w:tcW w:w="2500" w:type="pct"/>
          </w:tcPr>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乙方：XXX</w:t>
            </w:r>
          </w:p>
        </w:tc>
      </w:tr>
      <w:tr>
        <w:tblPrEx>
          <w:tblCellMar>
            <w:top w:w="0" w:type="dxa"/>
            <w:left w:w="108" w:type="dxa"/>
            <w:bottom w:w="0" w:type="dxa"/>
            <w:right w:w="108" w:type="dxa"/>
          </w:tblCellMar>
        </w:tblPrEx>
        <w:tc>
          <w:tcPr>
            <w:tcW w:w="2500" w:type="pct"/>
          </w:tcPr>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法人或授权代表签字：</w:t>
            </w:r>
          </w:p>
        </w:tc>
        <w:tc>
          <w:tcPr>
            <w:tcW w:w="2500" w:type="pct"/>
          </w:tcPr>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法人或授权代表签字：</w:t>
            </w:r>
          </w:p>
          <w:p>
            <w:pPr>
              <w:pStyle w:val="2"/>
              <w:ind w:firstLine="560"/>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772" w:hRule="atLeast"/>
        </w:trPr>
        <w:tc>
          <w:tcPr>
            <w:tcW w:w="2500" w:type="pct"/>
            <w:vAlign w:val="bottom"/>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日期：2025年    月    日</w:t>
            </w:r>
          </w:p>
        </w:tc>
        <w:tc>
          <w:tcPr>
            <w:tcW w:w="2500" w:type="pct"/>
            <w:vAlign w:val="bottom"/>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日期：2025年    月    日</w:t>
            </w:r>
          </w:p>
        </w:tc>
      </w:tr>
    </w:tbl>
    <w:p>
      <w:pPr>
        <w:spacing w:line="360" w:lineRule="auto"/>
        <w:rPr>
          <w:rFonts w:hint="eastAsia" w:ascii="宋体" w:hAnsi="宋体"/>
          <w:sz w:val="28"/>
          <w:szCs w:val="28"/>
        </w:rPr>
      </w:pPr>
      <w:r>
        <w:rPr>
          <w:rFonts w:ascii="宋体" w:hAnsi="宋体"/>
          <w:sz w:val="28"/>
          <w:szCs w:val="28"/>
        </w:rPr>
        <w:tab/>
      </w:r>
      <w:r>
        <w:rPr>
          <w:rFonts w:ascii="宋体" w:hAnsi="宋体"/>
          <w:sz w:val="28"/>
          <w:szCs w:val="28"/>
        </w:rPr>
        <w:tab/>
      </w:r>
    </w:p>
    <w:p>
      <w:pPr>
        <w:rPr>
          <w:rFonts w:hint="eastAsia" w:ascii="仿宋_GB2312" w:hAnsi="仿宋_GB2312" w:eastAsia="仿宋_GB2312" w:cs="仿宋_GB2312"/>
          <w:sz w:val="28"/>
          <w:szCs w:val="28"/>
        </w:rPr>
      </w:pPr>
    </w:p>
    <w:p>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附件：服务内容及要求</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5"/>
        <w:gridCol w:w="786"/>
        <w:gridCol w:w="923"/>
        <w:gridCol w:w="5357"/>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8" w:type="pct"/>
            <w:shd w:val="clear" w:color="000000" w:fill="FFFFFF"/>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428" w:type="pct"/>
            <w:shd w:val="clear" w:color="000000" w:fill="FFFFFF"/>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工作要素</w:t>
            </w:r>
          </w:p>
        </w:tc>
        <w:tc>
          <w:tcPr>
            <w:tcW w:w="503" w:type="pct"/>
            <w:shd w:val="clear" w:color="000000" w:fill="FFFFFF"/>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工作内容</w:t>
            </w:r>
          </w:p>
        </w:tc>
        <w:tc>
          <w:tcPr>
            <w:tcW w:w="2918" w:type="pct"/>
            <w:shd w:val="clear" w:color="000000" w:fill="FFFFFF"/>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备注说明</w:t>
            </w:r>
          </w:p>
        </w:tc>
        <w:tc>
          <w:tcPr>
            <w:tcW w:w="843" w:type="pct"/>
            <w:shd w:val="clear" w:color="000000" w:fill="FFFFFF"/>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交付成果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8" w:type="pct"/>
            <w:vMerge w:val="restart"/>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28" w:type="pct"/>
            <w:vMerge w:val="restart"/>
            <w:shd w:val="clear" w:color="000000" w:fill="FFFFFF"/>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风险分级管控与隐患排查双重预防机制重构</w:t>
            </w:r>
          </w:p>
        </w:tc>
        <w:tc>
          <w:tcPr>
            <w:tcW w:w="503" w:type="pct"/>
            <w:shd w:val="clear" w:color="000000" w:fill="FFFFFF"/>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建立安全风险清单库</w:t>
            </w:r>
          </w:p>
        </w:tc>
        <w:tc>
          <w:tcPr>
            <w:tcW w:w="2918" w:type="pct"/>
            <w:shd w:val="clear" w:color="000000" w:fill="FFFFFF"/>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依照“川交高管安委〔2017〕3号”第2条第2款第3项的要求：一是管控责任清单，风险点管控责任要逐级明确并落实到企业、部门、岗位和一线操作层面。</w:t>
            </w:r>
          </w:p>
        </w:tc>
        <w:tc>
          <w:tcPr>
            <w:tcW w:w="843" w:type="pct"/>
            <w:shd w:val="clear" w:color="000000" w:fill="FFFFFF"/>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安全风险清单1套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308" w:type="pct"/>
            <w:vMerge w:val="continue"/>
            <w:vAlign w:val="center"/>
          </w:tcPr>
          <w:p>
            <w:pPr>
              <w:widowControl/>
              <w:jc w:val="left"/>
              <w:rPr>
                <w:rFonts w:hint="eastAsia" w:ascii="宋体" w:hAnsi="宋体" w:eastAsia="宋体" w:cs="宋体"/>
                <w:color w:val="000000"/>
                <w:kern w:val="0"/>
                <w:sz w:val="20"/>
                <w:szCs w:val="20"/>
              </w:rPr>
            </w:pPr>
          </w:p>
        </w:tc>
        <w:tc>
          <w:tcPr>
            <w:tcW w:w="428" w:type="pct"/>
            <w:vMerge w:val="continue"/>
            <w:vAlign w:val="center"/>
          </w:tcPr>
          <w:p>
            <w:pPr>
              <w:widowControl/>
              <w:jc w:val="left"/>
              <w:rPr>
                <w:rFonts w:hint="eastAsia" w:ascii="宋体" w:hAnsi="宋体" w:eastAsia="宋体" w:cs="宋体"/>
                <w:color w:val="000000"/>
                <w:kern w:val="0"/>
                <w:sz w:val="20"/>
                <w:szCs w:val="20"/>
              </w:rPr>
            </w:pPr>
          </w:p>
        </w:tc>
        <w:tc>
          <w:tcPr>
            <w:tcW w:w="503" w:type="pct"/>
            <w:shd w:val="clear" w:color="000000" w:fill="FFFFFF"/>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建立安全风险管控措施体系</w:t>
            </w:r>
          </w:p>
        </w:tc>
        <w:tc>
          <w:tcPr>
            <w:tcW w:w="2918" w:type="pct"/>
            <w:shd w:val="clear" w:color="000000" w:fill="FFFFFF"/>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依照“川交高管安委〔2017〕3号”第2条第2款第3项的要求：二是管控措施清单，风险点要制定科学合理的制度管理、物理工程、在线监测、视频监控、自动化控制和应急管理等措施，并实施有效管控。</w:t>
            </w:r>
          </w:p>
        </w:tc>
        <w:tc>
          <w:tcPr>
            <w:tcW w:w="843" w:type="pct"/>
            <w:shd w:val="clear" w:color="000000" w:fill="FFFFFF"/>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桥涵、隧道、路基路面、交安设施、机电、收费等风险管控清单分别1套，隐患排查治理措施清单分别1套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8" w:type="pct"/>
            <w:vMerge w:val="continue"/>
            <w:vAlign w:val="center"/>
          </w:tcPr>
          <w:p>
            <w:pPr>
              <w:widowControl/>
              <w:jc w:val="left"/>
              <w:rPr>
                <w:rFonts w:hint="eastAsia" w:ascii="宋体" w:hAnsi="宋体" w:eastAsia="宋体" w:cs="宋体"/>
                <w:color w:val="000000"/>
                <w:kern w:val="0"/>
                <w:sz w:val="20"/>
                <w:szCs w:val="20"/>
              </w:rPr>
            </w:pPr>
          </w:p>
        </w:tc>
        <w:tc>
          <w:tcPr>
            <w:tcW w:w="428" w:type="pct"/>
            <w:vMerge w:val="continue"/>
            <w:vAlign w:val="center"/>
          </w:tcPr>
          <w:p>
            <w:pPr>
              <w:widowControl/>
              <w:jc w:val="left"/>
              <w:rPr>
                <w:rFonts w:hint="eastAsia" w:ascii="宋体" w:hAnsi="宋体" w:eastAsia="宋体" w:cs="宋体"/>
                <w:color w:val="000000"/>
                <w:kern w:val="0"/>
                <w:sz w:val="20"/>
                <w:szCs w:val="20"/>
              </w:rPr>
            </w:pPr>
          </w:p>
        </w:tc>
        <w:tc>
          <w:tcPr>
            <w:tcW w:w="503" w:type="pct"/>
            <w:shd w:val="clear" w:color="000000" w:fill="FFFFFF"/>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建立风险分布图</w:t>
            </w:r>
          </w:p>
        </w:tc>
        <w:tc>
          <w:tcPr>
            <w:tcW w:w="2918" w:type="pct"/>
            <w:shd w:val="clear" w:color="000000" w:fill="FFFFFF"/>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绘制一分公司高速公路风险分布图</w:t>
            </w:r>
          </w:p>
        </w:tc>
        <w:tc>
          <w:tcPr>
            <w:tcW w:w="843" w:type="pct"/>
            <w:shd w:val="clear" w:color="000000" w:fill="FFFFFF"/>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风险分布图1份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308" w:type="pct"/>
            <w:vMerge w:val="continue"/>
            <w:vAlign w:val="center"/>
          </w:tcPr>
          <w:p>
            <w:pPr>
              <w:widowControl/>
              <w:jc w:val="left"/>
              <w:rPr>
                <w:rFonts w:hint="eastAsia" w:ascii="宋体" w:hAnsi="宋体" w:eastAsia="宋体" w:cs="宋体"/>
                <w:color w:val="000000"/>
                <w:kern w:val="0"/>
                <w:sz w:val="20"/>
                <w:szCs w:val="20"/>
              </w:rPr>
            </w:pPr>
          </w:p>
        </w:tc>
        <w:tc>
          <w:tcPr>
            <w:tcW w:w="428" w:type="pct"/>
            <w:vMerge w:val="continue"/>
            <w:vAlign w:val="center"/>
          </w:tcPr>
          <w:p>
            <w:pPr>
              <w:widowControl/>
              <w:jc w:val="left"/>
              <w:rPr>
                <w:rFonts w:hint="eastAsia" w:ascii="宋体" w:hAnsi="宋体" w:eastAsia="宋体" w:cs="宋体"/>
                <w:color w:val="000000"/>
                <w:kern w:val="0"/>
                <w:sz w:val="20"/>
                <w:szCs w:val="20"/>
              </w:rPr>
            </w:pPr>
          </w:p>
        </w:tc>
        <w:tc>
          <w:tcPr>
            <w:tcW w:w="503" w:type="pct"/>
            <w:shd w:val="clear" w:color="000000" w:fill="FFFFFF"/>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建立一套安全风险告知卡</w:t>
            </w:r>
          </w:p>
        </w:tc>
        <w:tc>
          <w:tcPr>
            <w:tcW w:w="2918" w:type="pct"/>
            <w:shd w:val="clear" w:color="000000" w:fill="FFFFFF"/>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以岗位或作业场景为核心，‌整合风险类型、防控措施、应急处置流程、安全操作规范及禁止行为等关键信息，通过分类提炼、简明化表述和可操作性语言，形成分条目、易理解且符合法规与行业标准的内容框架‌，设计制定安全风险告知卡。</w:t>
            </w:r>
          </w:p>
        </w:tc>
        <w:tc>
          <w:tcPr>
            <w:tcW w:w="843" w:type="pct"/>
            <w:shd w:val="clear" w:color="000000" w:fill="FFFFFF"/>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风险告知卡一套</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（初步估算不少于100张）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308" w:type="pct"/>
            <w:vMerge w:val="continue"/>
            <w:vAlign w:val="center"/>
          </w:tcPr>
          <w:p>
            <w:pPr>
              <w:widowControl/>
              <w:jc w:val="left"/>
              <w:rPr>
                <w:rFonts w:hint="eastAsia" w:ascii="宋体" w:hAnsi="宋体" w:eastAsia="宋体" w:cs="宋体"/>
                <w:color w:val="000000"/>
                <w:kern w:val="0"/>
                <w:sz w:val="20"/>
                <w:szCs w:val="20"/>
              </w:rPr>
            </w:pPr>
          </w:p>
        </w:tc>
        <w:tc>
          <w:tcPr>
            <w:tcW w:w="428" w:type="pct"/>
            <w:vMerge w:val="continue"/>
            <w:vAlign w:val="center"/>
          </w:tcPr>
          <w:p>
            <w:pPr>
              <w:widowControl/>
              <w:jc w:val="left"/>
              <w:rPr>
                <w:rFonts w:hint="eastAsia" w:ascii="宋体" w:hAnsi="宋体" w:eastAsia="宋体" w:cs="宋体"/>
                <w:color w:val="000000"/>
                <w:kern w:val="0"/>
                <w:sz w:val="20"/>
                <w:szCs w:val="20"/>
              </w:rPr>
            </w:pPr>
          </w:p>
        </w:tc>
        <w:tc>
          <w:tcPr>
            <w:tcW w:w="503" w:type="pct"/>
            <w:shd w:val="clear" w:color="000000" w:fill="FFFFFF"/>
            <w:vAlign w:val="center"/>
          </w:tcPr>
          <w:p>
            <w:pPr>
              <w:widowControl/>
              <w:jc w:val="left"/>
              <w:rPr>
                <w:rFonts w:hint="eastAsia" w:ascii="宋体" w:hAnsi="宋体" w:eastAsia="宋体" w:cs="宋体"/>
                <w:color w:val="333333"/>
                <w:kern w:val="0"/>
                <w:sz w:val="20"/>
                <w:szCs w:val="20"/>
              </w:rPr>
            </w:pPr>
            <w:r>
              <w:rPr>
                <w:rFonts w:hint="eastAsia" w:ascii="宋体" w:hAnsi="宋体" w:eastAsia="宋体" w:cs="宋体"/>
                <w:color w:val="333333"/>
                <w:kern w:val="0"/>
                <w:sz w:val="20"/>
                <w:szCs w:val="20"/>
              </w:rPr>
              <w:t>风险评估实施</w:t>
            </w:r>
          </w:p>
        </w:tc>
        <w:tc>
          <w:tcPr>
            <w:tcW w:w="2918" w:type="pct"/>
            <w:shd w:val="clear" w:color="000000" w:fill="FFFFFF"/>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环境风险评估包括但不限于：分析各类事故衍化规律、自然灾害影响程度，识别环境危害因素，分析与周边可能受影响的居民、单位、区域环境的关系，构建突发环境事件及其后果情景，确定环境风险等级。</w:t>
            </w:r>
          </w:p>
        </w:tc>
        <w:tc>
          <w:tcPr>
            <w:tcW w:w="843" w:type="pct"/>
            <w:shd w:val="clear" w:color="000000" w:fill="FFFFFF"/>
            <w:vAlign w:val="center"/>
          </w:tcPr>
          <w:p>
            <w:pPr>
              <w:widowControl/>
              <w:jc w:val="left"/>
              <w:rPr>
                <w:rFonts w:hint="eastAsia" w:ascii="宋体" w:hAnsi="宋体" w:eastAsia="宋体" w:cs="宋体"/>
                <w:color w:val="333333"/>
                <w:kern w:val="0"/>
                <w:sz w:val="20"/>
                <w:szCs w:val="20"/>
              </w:rPr>
            </w:pPr>
            <w:r>
              <w:rPr>
                <w:rFonts w:hint="eastAsia" w:ascii="宋体" w:hAnsi="宋体" w:eastAsia="宋体" w:cs="宋体"/>
                <w:color w:val="333333"/>
                <w:kern w:val="0"/>
                <w:sz w:val="20"/>
                <w:szCs w:val="20"/>
              </w:rPr>
              <w:t>风险评估报告1份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308" w:type="pct"/>
            <w:vMerge w:val="continue"/>
            <w:vAlign w:val="center"/>
          </w:tcPr>
          <w:p>
            <w:pPr>
              <w:widowControl/>
              <w:jc w:val="left"/>
              <w:rPr>
                <w:rFonts w:hint="eastAsia" w:ascii="宋体" w:hAnsi="宋体" w:eastAsia="宋体" w:cs="宋体"/>
                <w:color w:val="000000"/>
                <w:kern w:val="0"/>
                <w:sz w:val="20"/>
                <w:szCs w:val="20"/>
              </w:rPr>
            </w:pPr>
          </w:p>
        </w:tc>
        <w:tc>
          <w:tcPr>
            <w:tcW w:w="428" w:type="pct"/>
            <w:vMerge w:val="continue"/>
            <w:vAlign w:val="center"/>
          </w:tcPr>
          <w:p>
            <w:pPr>
              <w:widowControl/>
              <w:jc w:val="left"/>
              <w:rPr>
                <w:rFonts w:hint="eastAsia" w:ascii="宋体" w:hAnsi="宋体" w:eastAsia="宋体" w:cs="宋体"/>
                <w:color w:val="000000"/>
                <w:kern w:val="0"/>
                <w:sz w:val="20"/>
                <w:szCs w:val="20"/>
              </w:rPr>
            </w:pPr>
          </w:p>
        </w:tc>
        <w:tc>
          <w:tcPr>
            <w:tcW w:w="503" w:type="pct"/>
            <w:shd w:val="clear" w:color="000000" w:fill="FFFFFF"/>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梳理建立重大事故隐患判定标准清单</w:t>
            </w:r>
          </w:p>
        </w:tc>
        <w:tc>
          <w:tcPr>
            <w:tcW w:w="2918" w:type="pct"/>
            <w:shd w:val="clear" w:color="000000" w:fill="FFFFFF"/>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（1）依照已颁布的重大事故隐患判定标准，建立一分公司重大事故隐患判定标准清单；【注：《应急管理部关于严格规范安全生产执法行为的通知》（应急〔2025〕11号）】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建立其他可能导致重特大事故的高风险事项清单。【注：《应急管理部关于严格规范安全生产执法行为的通知》（应急〔2025〕11号）、《国务院安委会办公室关于学好用好重大事故隐患判定标准的通知》（安委办〔2024〕2号）】</w:t>
            </w:r>
          </w:p>
        </w:tc>
        <w:tc>
          <w:tcPr>
            <w:tcW w:w="843" w:type="pct"/>
            <w:shd w:val="clear" w:color="000000" w:fill="FFFFFF"/>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1.重大事故隐患判定标准清单；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2.其他可能导致重特大事故的高风险事项清单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308" w:type="pct"/>
            <w:vMerge w:val="continue"/>
            <w:vAlign w:val="center"/>
          </w:tcPr>
          <w:p>
            <w:pPr>
              <w:widowControl/>
              <w:jc w:val="left"/>
              <w:rPr>
                <w:rFonts w:hint="eastAsia" w:ascii="宋体" w:hAnsi="宋体" w:eastAsia="宋体" w:cs="宋体"/>
                <w:color w:val="000000"/>
                <w:kern w:val="0"/>
                <w:sz w:val="20"/>
                <w:szCs w:val="20"/>
              </w:rPr>
            </w:pPr>
          </w:p>
        </w:tc>
        <w:tc>
          <w:tcPr>
            <w:tcW w:w="428" w:type="pct"/>
            <w:vMerge w:val="continue"/>
            <w:vAlign w:val="center"/>
          </w:tcPr>
          <w:p>
            <w:pPr>
              <w:widowControl/>
              <w:jc w:val="left"/>
              <w:rPr>
                <w:rFonts w:hint="eastAsia" w:ascii="宋体" w:hAnsi="宋体" w:eastAsia="宋体" w:cs="宋体"/>
                <w:color w:val="000000"/>
                <w:kern w:val="0"/>
                <w:sz w:val="20"/>
                <w:szCs w:val="20"/>
              </w:rPr>
            </w:pPr>
          </w:p>
        </w:tc>
        <w:tc>
          <w:tcPr>
            <w:tcW w:w="503" w:type="pct"/>
            <w:shd w:val="clear" w:color="000000" w:fill="FFFFFF"/>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双重预防机制建设工作手册</w:t>
            </w:r>
          </w:p>
        </w:tc>
        <w:tc>
          <w:tcPr>
            <w:tcW w:w="2918" w:type="pct"/>
            <w:shd w:val="clear" w:color="000000" w:fill="FFFFFF"/>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双重预防机制建设工作手册主要包括‌组织机构设立（领导小组及分级管理体系）、双机制制度文件编制（风险分级管控与隐患排查治理制度、操作指南及记录表格）、风险辨识与评估流程（危险源识别、风险分级、管控措施制定及公示）‌、隐患排查治理程序（隐患分类、整改计划及闭环管理）、动态更新与持续改进机制（定期评估、信息平台建设及考核激励）‌，并配套‌风险四色分布图、岗位风险告知卡及应急处置卡等可视化工具‌。</w:t>
            </w:r>
          </w:p>
        </w:tc>
        <w:tc>
          <w:tcPr>
            <w:tcW w:w="843" w:type="pct"/>
            <w:shd w:val="clear" w:color="000000" w:fill="FFFFFF"/>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安全风险因素基础数据库1套、安全风险防控手册1册，每个站、区、队安全风险管控手册1套，双重预防机制建设运行手册（或报告）1册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308" w:type="pct"/>
            <w:vMerge w:val="restart"/>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28" w:type="pct"/>
            <w:vMerge w:val="restart"/>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安全生产标准化</w:t>
            </w:r>
            <w:r>
              <w:rPr>
                <w:rFonts w:hint="eastAsia" w:ascii="宋体" w:hAnsi="宋体" w:eastAsia="宋体" w:cs="宋体"/>
                <w:color w:val="000000"/>
                <w:kern w:val="0"/>
                <w:sz w:val="20"/>
                <w:szCs w:val="20"/>
                <w:lang w:val="en-US" w:eastAsia="zh-CN"/>
              </w:rPr>
              <w:t>创建</w:t>
            </w:r>
          </w:p>
        </w:tc>
        <w:tc>
          <w:tcPr>
            <w:tcW w:w="503" w:type="pct"/>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持续改进计划制定与实施</w:t>
            </w:r>
          </w:p>
        </w:tc>
        <w:tc>
          <w:tcPr>
            <w:tcW w:w="2918" w:type="pct"/>
            <w:shd w:val="clear" w:color="000000" w:fill="FFFFFF"/>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（1）成立标准化持续改进领导小组；</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（2）制定《2025年度标准化持续改进计划》；</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（3）明确改进目标、责任部门和完成时限；</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（4）开展标准化体系运行现状评估，全过程安全管理组织形成《安全生产标准化体系运行评估报告》。</w:t>
            </w:r>
          </w:p>
        </w:tc>
        <w:tc>
          <w:tcPr>
            <w:tcW w:w="843" w:type="pct"/>
            <w:shd w:val="clear" w:color="000000" w:fill="FFFFFF"/>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1.《2025年度标准化持续改进计划》1个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2.《安全生产标准化体系运行评估报告》1个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308" w:type="pct"/>
            <w:vMerge w:val="continue"/>
            <w:vAlign w:val="center"/>
          </w:tcPr>
          <w:p>
            <w:pPr>
              <w:widowControl/>
              <w:jc w:val="left"/>
              <w:rPr>
                <w:rFonts w:hint="eastAsia" w:ascii="宋体" w:hAnsi="宋体" w:eastAsia="宋体" w:cs="宋体"/>
                <w:color w:val="000000"/>
                <w:kern w:val="0"/>
                <w:sz w:val="20"/>
                <w:szCs w:val="20"/>
              </w:rPr>
            </w:pPr>
          </w:p>
        </w:tc>
        <w:tc>
          <w:tcPr>
            <w:tcW w:w="428" w:type="pct"/>
            <w:vMerge w:val="continue"/>
            <w:vAlign w:val="center"/>
          </w:tcPr>
          <w:p>
            <w:pPr>
              <w:widowControl/>
              <w:jc w:val="left"/>
              <w:rPr>
                <w:rFonts w:hint="eastAsia" w:ascii="宋体" w:hAnsi="宋体" w:eastAsia="宋体" w:cs="宋体"/>
                <w:color w:val="000000"/>
                <w:kern w:val="0"/>
                <w:sz w:val="20"/>
                <w:szCs w:val="20"/>
              </w:rPr>
            </w:pPr>
          </w:p>
        </w:tc>
        <w:tc>
          <w:tcPr>
            <w:tcW w:w="503" w:type="pct"/>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内部审核与问题整改</w:t>
            </w:r>
          </w:p>
        </w:tc>
        <w:tc>
          <w:tcPr>
            <w:tcW w:w="2918" w:type="pct"/>
            <w:shd w:val="clear" w:color="000000" w:fill="FFFFFF"/>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（1）开展全面内部审核；</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（2）覆盖各部门和代表性基层单位，重点核查安全责任制、风险管控、应急管理等内容；</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（3）编制《内部审核报告》并通报问题；</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（4）制定整改方案；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（5）针对高风险问题优先指导整改，形成《内部审核问题整改跟踪表》。</w:t>
            </w:r>
          </w:p>
        </w:tc>
        <w:tc>
          <w:tcPr>
            <w:tcW w:w="843" w:type="pct"/>
            <w:shd w:val="clear" w:color="000000" w:fill="FFFFFF"/>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1.《内部审核报告》1个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2.《内部审核问题整改跟踪表》1个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308" w:type="pct"/>
            <w:vMerge w:val="continue"/>
            <w:vAlign w:val="center"/>
          </w:tcPr>
          <w:p>
            <w:pPr>
              <w:widowControl/>
              <w:jc w:val="left"/>
              <w:rPr>
                <w:rFonts w:hint="eastAsia" w:ascii="宋体" w:hAnsi="宋体" w:eastAsia="宋体" w:cs="宋体"/>
                <w:color w:val="000000"/>
                <w:kern w:val="0"/>
                <w:sz w:val="20"/>
                <w:szCs w:val="20"/>
              </w:rPr>
            </w:pPr>
          </w:p>
        </w:tc>
        <w:tc>
          <w:tcPr>
            <w:tcW w:w="428" w:type="pct"/>
            <w:vMerge w:val="continue"/>
            <w:vAlign w:val="center"/>
          </w:tcPr>
          <w:p>
            <w:pPr>
              <w:widowControl/>
              <w:jc w:val="left"/>
              <w:rPr>
                <w:rFonts w:hint="eastAsia" w:ascii="宋体" w:hAnsi="宋体" w:eastAsia="宋体" w:cs="宋体"/>
                <w:color w:val="000000"/>
                <w:kern w:val="0"/>
                <w:sz w:val="20"/>
                <w:szCs w:val="20"/>
              </w:rPr>
            </w:pPr>
          </w:p>
        </w:tc>
        <w:tc>
          <w:tcPr>
            <w:tcW w:w="503" w:type="pct"/>
            <w:shd w:val="clear" w:color="000000" w:fill="FFFFFF"/>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安全责任制体系整改优化</w:t>
            </w:r>
          </w:p>
        </w:tc>
        <w:tc>
          <w:tcPr>
            <w:tcW w:w="2918" w:type="pct"/>
            <w:shd w:val="clear" w:color="000000" w:fill="FFFFFF"/>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以“安全第一、预防为主、综合治理”为方针，通过明确企业负责人、管理层、部门及岗位人员的安全生产职责，构建覆盖全员的“企业-部门-班组”三级责任网络；具体包括落实安全管理制度、操作规程和应急预案，落实风险分级管控与隐患排查治理双重机制，定期开展安全培训与应急演练，并将安全生产履职情况纳入绩效考核，形成“责任到人、考核到岗、追责到底”的闭环管理体系‌。</w:t>
            </w:r>
          </w:p>
        </w:tc>
        <w:tc>
          <w:tcPr>
            <w:tcW w:w="843" w:type="pct"/>
            <w:shd w:val="clear" w:color="000000" w:fill="FFFFFF"/>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安全生产责任制1套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308" w:type="pct"/>
            <w:vMerge w:val="continue"/>
            <w:vAlign w:val="center"/>
          </w:tcPr>
          <w:p>
            <w:pPr>
              <w:widowControl/>
              <w:jc w:val="left"/>
              <w:rPr>
                <w:rFonts w:hint="eastAsia" w:ascii="宋体" w:hAnsi="宋体" w:eastAsia="宋体" w:cs="宋体"/>
                <w:color w:val="000000"/>
                <w:kern w:val="0"/>
                <w:sz w:val="20"/>
                <w:szCs w:val="20"/>
              </w:rPr>
            </w:pPr>
          </w:p>
        </w:tc>
        <w:tc>
          <w:tcPr>
            <w:tcW w:w="428" w:type="pct"/>
            <w:vMerge w:val="continue"/>
            <w:vAlign w:val="center"/>
          </w:tcPr>
          <w:p>
            <w:pPr>
              <w:widowControl/>
              <w:jc w:val="left"/>
              <w:rPr>
                <w:rFonts w:hint="eastAsia" w:ascii="宋体" w:hAnsi="宋体" w:eastAsia="宋体" w:cs="宋体"/>
                <w:color w:val="000000"/>
                <w:kern w:val="0"/>
                <w:sz w:val="20"/>
                <w:szCs w:val="20"/>
              </w:rPr>
            </w:pPr>
          </w:p>
        </w:tc>
        <w:tc>
          <w:tcPr>
            <w:tcW w:w="503" w:type="pct"/>
            <w:shd w:val="clear" w:color="000000" w:fill="FFFFFF"/>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安全责任清单体系整改优化</w:t>
            </w:r>
          </w:p>
        </w:tc>
        <w:tc>
          <w:tcPr>
            <w:tcW w:w="2918" w:type="pct"/>
            <w:shd w:val="clear" w:color="000000" w:fill="FFFFFF"/>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以“党政同责、一岗双责”为原则，明确企业主要负责人为第一责任人、分管领导为直接责任人，结合《四川省安全生产条例》细化风险管控、隐患排查、应急处置等环节的分级分类责任条目；通过动态更新机制衔接法规修订与业务调整，并依托目标考核、信用评价及事故倒查等手段监督责任落实，实现“清单明责、履责留痕、失职追责”的精细化、可追溯管理‌。</w:t>
            </w:r>
          </w:p>
        </w:tc>
        <w:tc>
          <w:tcPr>
            <w:tcW w:w="843" w:type="pct"/>
            <w:shd w:val="clear" w:color="000000" w:fill="FFFFFF"/>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安全生产责任清单1套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trPr>
        <w:tc>
          <w:tcPr>
            <w:tcW w:w="308" w:type="pct"/>
            <w:vMerge w:val="continue"/>
            <w:vAlign w:val="center"/>
          </w:tcPr>
          <w:p>
            <w:pPr>
              <w:widowControl/>
              <w:jc w:val="left"/>
              <w:rPr>
                <w:rFonts w:hint="eastAsia" w:ascii="宋体" w:hAnsi="宋体" w:eastAsia="宋体" w:cs="宋体"/>
                <w:color w:val="000000"/>
                <w:kern w:val="0"/>
                <w:sz w:val="20"/>
                <w:szCs w:val="20"/>
              </w:rPr>
            </w:pPr>
          </w:p>
        </w:tc>
        <w:tc>
          <w:tcPr>
            <w:tcW w:w="428" w:type="pct"/>
            <w:vMerge w:val="continue"/>
            <w:vAlign w:val="center"/>
          </w:tcPr>
          <w:p>
            <w:pPr>
              <w:widowControl/>
              <w:jc w:val="left"/>
              <w:rPr>
                <w:rFonts w:hint="eastAsia" w:ascii="宋体" w:hAnsi="宋体" w:eastAsia="宋体" w:cs="宋体"/>
                <w:color w:val="000000"/>
                <w:kern w:val="0"/>
                <w:sz w:val="20"/>
                <w:szCs w:val="20"/>
              </w:rPr>
            </w:pPr>
          </w:p>
        </w:tc>
        <w:tc>
          <w:tcPr>
            <w:tcW w:w="503" w:type="pct"/>
            <w:shd w:val="clear" w:color="000000" w:fill="FFFFFF"/>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教育培训体系整改优化</w:t>
            </w:r>
          </w:p>
        </w:tc>
        <w:tc>
          <w:tcPr>
            <w:tcW w:w="2918" w:type="pct"/>
            <w:shd w:val="clear" w:color="000000" w:fill="FFFFFF"/>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安全教育培训需求识别、汇总及分析咨询；安全教育培训计划咨询；指导完善安全教育培训记录、培训档案、培训效果评估记录、改进措施相关资料；特种设备作业人员、新员工、劳务派遣人员安全教育培训相关管理咨询；</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建立分层分类的全员培训机制（如三级安全教育）机制、岗位风险与操作规程培训机制、应急处置演练培训机制、安全法律法规宣贯要求、专项技能提升及事故案例警示教育机制等内容，指导定期考核、动态更新和效果评估实现培训的系统化与持续性‌。</w:t>
            </w:r>
          </w:p>
        </w:tc>
        <w:tc>
          <w:tcPr>
            <w:tcW w:w="843" w:type="pct"/>
            <w:shd w:val="clear" w:color="000000" w:fill="FFFFFF"/>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安全生产教育培训机制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308" w:type="pct"/>
            <w:vMerge w:val="continue"/>
            <w:vAlign w:val="center"/>
          </w:tcPr>
          <w:p>
            <w:pPr>
              <w:widowControl/>
              <w:jc w:val="left"/>
              <w:rPr>
                <w:rFonts w:hint="eastAsia" w:ascii="宋体" w:hAnsi="宋体" w:eastAsia="宋体" w:cs="宋体"/>
                <w:color w:val="000000"/>
                <w:kern w:val="0"/>
                <w:sz w:val="20"/>
                <w:szCs w:val="20"/>
              </w:rPr>
            </w:pPr>
          </w:p>
        </w:tc>
        <w:tc>
          <w:tcPr>
            <w:tcW w:w="428" w:type="pct"/>
            <w:vMerge w:val="continue"/>
            <w:vAlign w:val="center"/>
          </w:tcPr>
          <w:p>
            <w:pPr>
              <w:widowControl/>
              <w:jc w:val="left"/>
              <w:rPr>
                <w:rFonts w:hint="eastAsia" w:ascii="宋体" w:hAnsi="宋体" w:eastAsia="宋体" w:cs="宋体"/>
                <w:color w:val="000000"/>
                <w:kern w:val="0"/>
                <w:sz w:val="20"/>
                <w:szCs w:val="20"/>
              </w:rPr>
            </w:pPr>
          </w:p>
        </w:tc>
        <w:tc>
          <w:tcPr>
            <w:tcW w:w="503" w:type="pct"/>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管理评审</w:t>
            </w:r>
          </w:p>
        </w:tc>
        <w:tc>
          <w:tcPr>
            <w:tcW w:w="2918" w:type="pct"/>
            <w:shd w:val="clear" w:color="000000" w:fill="FFFFFF"/>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（1）开展管理评审交底；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（2）评审标准化体系运行的充分性、适宜性和有效性；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（3）输出《安全生产标准化一级管理评审报告（自评报告）》；</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（4）根据评审结果编制《一分公司(安全生产标准化手册》及相关程序文件。</w:t>
            </w:r>
          </w:p>
        </w:tc>
        <w:tc>
          <w:tcPr>
            <w:tcW w:w="843" w:type="pct"/>
            <w:shd w:val="clear" w:color="000000" w:fill="FFFFFF"/>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1.《安全生产标准化二级管理评审报告（自评报告）》1个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2.《一分公司(安全生产标准化手册》1个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308" w:type="pct"/>
            <w:vMerge w:val="continue"/>
            <w:vAlign w:val="center"/>
          </w:tcPr>
          <w:p>
            <w:pPr>
              <w:widowControl/>
              <w:jc w:val="left"/>
              <w:rPr>
                <w:rFonts w:hint="eastAsia" w:ascii="宋体" w:hAnsi="宋体" w:eastAsia="宋体" w:cs="宋体"/>
                <w:color w:val="000000"/>
                <w:kern w:val="0"/>
                <w:sz w:val="20"/>
                <w:szCs w:val="20"/>
              </w:rPr>
            </w:pPr>
          </w:p>
        </w:tc>
        <w:tc>
          <w:tcPr>
            <w:tcW w:w="428" w:type="pct"/>
            <w:vMerge w:val="continue"/>
            <w:vAlign w:val="center"/>
          </w:tcPr>
          <w:p>
            <w:pPr>
              <w:widowControl/>
              <w:jc w:val="left"/>
              <w:rPr>
                <w:rFonts w:hint="eastAsia" w:ascii="宋体" w:hAnsi="宋体" w:eastAsia="宋体" w:cs="宋体"/>
                <w:color w:val="000000"/>
                <w:kern w:val="0"/>
                <w:sz w:val="20"/>
                <w:szCs w:val="20"/>
              </w:rPr>
            </w:pPr>
          </w:p>
        </w:tc>
        <w:tc>
          <w:tcPr>
            <w:tcW w:w="503" w:type="pct"/>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年度评价准备</w:t>
            </w:r>
          </w:p>
        </w:tc>
        <w:tc>
          <w:tcPr>
            <w:tcW w:w="2918" w:type="pct"/>
            <w:shd w:val="clear" w:color="000000" w:fill="FFFFFF"/>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（1）开展模拟外部评审；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（2）发现问题并整改；</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（3）整理年度核查资料；</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（4）归档安全生产记录、培训档案、隐患整改台账等证明材料；</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（5）提交年度核查申请；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（6）向交通运输主管部门或评审机构提交《标准化年度核查申请表》。</w:t>
            </w:r>
          </w:p>
        </w:tc>
        <w:tc>
          <w:tcPr>
            <w:tcW w:w="843" w:type="pct"/>
            <w:shd w:val="clear" w:color="000000" w:fill="FFFFFF"/>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1.《标准化年度评价申请表》，向外提交</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2.《年度评价资料清单模板》1套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308" w:type="pct"/>
            <w:vMerge w:val="continue"/>
            <w:vAlign w:val="center"/>
          </w:tcPr>
          <w:p>
            <w:pPr>
              <w:widowControl/>
              <w:jc w:val="left"/>
              <w:rPr>
                <w:rFonts w:hint="eastAsia" w:ascii="宋体" w:hAnsi="宋体" w:eastAsia="宋体" w:cs="宋体"/>
                <w:color w:val="000000"/>
                <w:kern w:val="0"/>
                <w:sz w:val="20"/>
                <w:szCs w:val="20"/>
              </w:rPr>
            </w:pPr>
          </w:p>
        </w:tc>
        <w:tc>
          <w:tcPr>
            <w:tcW w:w="428" w:type="pct"/>
            <w:vMerge w:val="continue"/>
            <w:vAlign w:val="center"/>
          </w:tcPr>
          <w:p>
            <w:pPr>
              <w:widowControl/>
              <w:jc w:val="left"/>
              <w:rPr>
                <w:rFonts w:hint="eastAsia" w:ascii="宋体" w:hAnsi="宋体" w:eastAsia="宋体" w:cs="宋体"/>
                <w:color w:val="000000"/>
                <w:kern w:val="0"/>
                <w:sz w:val="20"/>
                <w:szCs w:val="20"/>
              </w:rPr>
            </w:pPr>
          </w:p>
        </w:tc>
        <w:tc>
          <w:tcPr>
            <w:tcW w:w="503" w:type="pct"/>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年度现场评价与总结</w:t>
            </w:r>
          </w:p>
        </w:tc>
        <w:tc>
          <w:tcPr>
            <w:tcW w:w="2918" w:type="pct"/>
            <w:shd w:val="clear" w:color="000000" w:fill="FFFFFF"/>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（1）开展现场核查；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（2）提供现场检查、人员访谈、资料核验等支持；</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（3）整改核查发现问题；</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（4）针对评审组提出的不符合项，制定整改措施并闭环；</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（5）召开年度标准化工作总结会；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（6）总结年度成果，部署下一年度工作计划；</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（7）开展标准化运行示范项目部推荐及建议文件。</w:t>
            </w:r>
          </w:p>
        </w:tc>
        <w:tc>
          <w:tcPr>
            <w:tcW w:w="843" w:type="pct"/>
            <w:shd w:val="clear" w:color="000000" w:fill="FFFFFF"/>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1.获得安全生产标准化二级（高速公路运营）达标证书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2.《2026年安全生产标准化持续改进计划》1项</w:t>
            </w:r>
          </w:p>
        </w:tc>
      </w:tr>
    </w:tbl>
    <w:p>
      <w:pPr>
        <w:rPr>
          <w:rFonts w:hint="eastAsia" w:ascii="宋体" w:hAnsi="宋体" w:eastAsia="宋体" w:cs="宋体"/>
          <w:sz w:val="20"/>
          <w:szCs w:val="20"/>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w:t>
      </w:r>
      <w:bookmarkStart w:id="65" w:name="OLE_LINK7"/>
      <w:r>
        <w:rPr>
          <w:rFonts w:hint="eastAsia" w:ascii="仿宋_GB2312" w:hAnsi="仿宋_GB2312" w:eastAsia="仿宋_GB2312" w:cs="仿宋_GB2312"/>
          <w:sz w:val="28"/>
          <w:szCs w:val="28"/>
        </w:rPr>
        <w:t>廉政合同</w:t>
      </w:r>
      <w:bookmarkEnd w:id="65"/>
      <w:r>
        <w:rPr>
          <w:rFonts w:hint="eastAsia" w:ascii="仿宋_GB2312" w:hAnsi="仿宋_GB2312" w:eastAsia="仿宋_GB2312" w:cs="仿宋_GB2312"/>
          <w:sz w:val="28"/>
          <w:szCs w:val="28"/>
        </w:rPr>
        <w:t>格式</w:t>
      </w:r>
    </w:p>
    <w:p>
      <w:pPr>
        <w:pStyle w:val="18"/>
        <w:spacing w:line="36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廉政合同</w:t>
      </w:r>
    </w:p>
    <w:p>
      <w:pPr>
        <w:pStyle w:val="18"/>
        <w:spacing w:line="360" w:lineRule="auto"/>
        <w:jc w:val="center"/>
        <w:rPr>
          <w:rFonts w:hint="eastAsia" w:ascii="仿宋_GB2312" w:hAnsi="仿宋_GB2312" w:eastAsia="仿宋_GB2312" w:cs="仿宋_GB2312"/>
          <w:b/>
          <w:sz w:val="28"/>
          <w:szCs w:val="28"/>
        </w:rPr>
      </w:pPr>
    </w:p>
    <w:p>
      <w:pPr>
        <w:pStyle w:val="18"/>
        <w:spacing w:line="360" w:lineRule="auto"/>
        <w:ind w:firstLine="435"/>
        <w:jc w:val="left"/>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根据交通运输部《关于在交通基础设施建设中加强廉政建设的若干意见》以及有关工程建设、廉政建设的规定，为做好工程建设中的党风廉政建设，保证工程建设高效优质，保证服务资金的安全和有效使用以及投资效益，四川成渝高速公路股份有限公司公路运营管理一分公司</w:t>
      </w:r>
      <w:r>
        <w:rPr>
          <w:rFonts w:hint="eastAsia" w:ascii="仿宋_GB2312" w:hAnsi="仿宋_GB2312" w:eastAsia="仿宋_GB2312" w:cs="仿宋_GB2312"/>
          <w:bCs/>
          <w:kern w:val="2"/>
          <w:sz w:val="28"/>
          <w:szCs w:val="28"/>
          <w:lang w:eastAsia="zh-CN"/>
        </w:rPr>
        <w:t>双重预防机制建设和安全生产标准化二级达标创建技术服务项目</w:t>
      </w:r>
      <w:r>
        <w:rPr>
          <w:rFonts w:hint="eastAsia" w:ascii="仿宋_GB2312" w:hAnsi="仿宋_GB2312" w:eastAsia="仿宋_GB2312" w:cs="仿宋_GB2312"/>
          <w:bCs/>
          <w:kern w:val="2"/>
          <w:sz w:val="28"/>
          <w:szCs w:val="28"/>
        </w:rPr>
        <w:t>的项目法人四川成渝高速公路股份有限公司公路运营管理一分公司(以下简称“委托人”)与本项目四川成渝高速公路股份有限公司公路运营管理一分公司</w:t>
      </w:r>
      <w:r>
        <w:rPr>
          <w:rFonts w:hint="eastAsia" w:ascii="仿宋_GB2312" w:hAnsi="仿宋_GB2312" w:eastAsia="仿宋_GB2312" w:cs="仿宋_GB2312"/>
          <w:bCs/>
          <w:kern w:val="2"/>
          <w:sz w:val="28"/>
          <w:szCs w:val="28"/>
          <w:lang w:eastAsia="zh-CN"/>
        </w:rPr>
        <w:t>双重预防机制建设和安全生产标准化二级达标创建技术服务项目</w:t>
      </w:r>
      <w:r>
        <w:rPr>
          <w:rFonts w:hint="eastAsia" w:ascii="仿宋_GB2312" w:hAnsi="仿宋_GB2312" w:eastAsia="仿宋_GB2312" w:cs="仿宋_GB2312"/>
          <w:bCs/>
          <w:kern w:val="2"/>
          <w:sz w:val="28"/>
          <w:szCs w:val="28"/>
        </w:rPr>
        <w:t>的技术服务单位***(以下简称“受托人”)，特订立如下合同。</w:t>
      </w:r>
    </w:p>
    <w:p>
      <w:pPr>
        <w:pStyle w:val="18"/>
        <w:spacing w:line="360" w:lineRule="auto"/>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 xml:space="preserve">    第一条 委托人与受托人双方的权利和义务</w:t>
      </w:r>
    </w:p>
    <w:p>
      <w:pPr>
        <w:pStyle w:val="18"/>
        <w:spacing w:line="360" w:lineRule="auto"/>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 xml:space="preserve">    (1)严格遵守党的政策规定和国家有关法律法规及交通运输部的有关规定。</w:t>
      </w:r>
    </w:p>
    <w:p>
      <w:pPr>
        <w:pStyle w:val="18"/>
        <w:spacing w:line="360" w:lineRule="auto"/>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 xml:space="preserve">    (2)严格执行四川成渝高速公路股份有限公司公路运营管理一分公司</w:t>
      </w:r>
      <w:r>
        <w:rPr>
          <w:rFonts w:hint="eastAsia" w:ascii="仿宋_GB2312" w:hAnsi="仿宋_GB2312" w:eastAsia="仿宋_GB2312" w:cs="仿宋_GB2312"/>
          <w:bCs/>
          <w:kern w:val="2"/>
          <w:sz w:val="28"/>
          <w:szCs w:val="28"/>
          <w:lang w:eastAsia="zh-CN"/>
        </w:rPr>
        <w:t>双重预防机制建设和安全生产标准化二级达标创建技术服务项目</w:t>
      </w:r>
      <w:r>
        <w:rPr>
          <w:rFonts w:hint="eastAsia" w:ascii="仿宋_GB2312" w:hAnsi="仿宋_GB2312" w:eastAsia="仿宋_GB2312" w:cs="仿宋_GB2312"/>
          <w:bCs/>
          <w:kern w:val="2"/>
          <w:sz w:val="28"/>
          <w:szCs w:val="28"/>
        </w:rPr>
        <w:t>合同文件，自觉按合同办事。</w:t>
      </w:r>
    </w:p>
    <w:p>
      <w:pPr>
        <w:pStyle w:val="18"/>
        <w:spacing w:line="360" w:lineRule="auto"/>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 xml:space="preserve">    (3)双方的业务活动坚持公开、公正、诚信、透明的原则(法律认定的商业秘密和合同文件另有规定除外)，不得损害国家和集体利益，不得违反工程建设管理规章制度。</w:t>
      </w:r>
    </w:p>
    <w:p>
      <w:pPr>
        <w:pStyle w:val="18"/>
        <w:spacing w:line="360" w:lineRule="auto"/>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 xml:space="preserve">    (4)建立健全廉政制度，开展廉政教育，设立廉政告示牌，公布举报电话，监督并认真查处违法违纪行为。</w:t>
      </w:r>
    </w:p>
    <w:p>
      <w:pPr>
        <w:pStyle w:val="18"/>
        <w:spacing w:line="360" w:lineRule="auto"/>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 xml:space="preserve">    (5)发现对方在业务活动中有违反廉政规定的行为，有及时提醒对方纠正的权利和义务。</w:t>
      </w:r>
    </w:p>
    <w:p>
      <w:pPr>
        <w:pStyle w:val="18"/>
        <w:spacing w:line="360" w:lineRule="auto"/>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 xml:space="preserve">    (6)发现对方严重违反本合同义务条款的行为，有向其上级有关部门举报、建议给予处理并要求告知处理结果的权利。</w:t>
      </w:r>
    </w:p>
    <w:p>
      <w:pPr>
        <w:pStyle w:val="18"/>
        <w:spacing w:line="360" w:lineRule="auto"/>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 xml:space="preserve">   第二条 委托人的义务</w:t>
      </w:r>
    </w:p>
    <w:p>
      <w:pPr>
        <w:pStyle w:val="18"/>
        <w:spacing w:line="360" w:lineRule="auto"/>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 xml:space="preserve">    (1)委托人及其工作人员不得索要或接受受托人的礼金、有价证券和贵重物品，不得让受托人报销任何应由委托人或委托人工作人员个人支付的费用等。</w:t>
      </w:r>
    </w:p>
    <w:p>
      <w:pPr>
        <w:pStyle w:val="18"/>
        <w:spacing w:line="360" w:lineRule="auto"/>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 xml:space="preserve">    (2)委托人工作人员不得参加受托人安排的超标准宴请和娱乐活动；不得接受受托人提供的通讯工具、交通工具和高档办公用品等。</w:t>
      </w:r>
    </w:p>
    <w:p>
      <w:pPr>
        <w:pStyle w:val="18"/>
        <w:spacing w:line="360" w:lineRule="auto"/>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 xml:space="preserve">    (3)委托人及其工作人员不得要求或者接受受托人为其住房装修、婚丧嫁娶活动、配偶子女的工作安排以及出国出境、旅游等提供方便等。</w:t>
      </w:r>
    </w:p>
    <w:p>
      <w:pPr>
        <w:pStyle w:val="18"/>
        <w:spacing w:line="360" w:lineRule="auto"/>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 xml:space="preserve">    (4)委托人工作人员及其配偶、子女不得从事与委托人工程有关的受托人分包项目。  </w:t>
      </w:r>
    </w:p>
    <w:p>
      <w:pPr>
        <w:pStyle w:val="18"/>
        <w:spacing w:line="360" w:lineRule="auto"/>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 xml:space="preserve">   第三条 受托人的义务</w:t>
      </w:r>
    </w:p>
    <w:p>
      <w:pPr>
        <w:pStyle w:val="18"/>
        <w:spacing w:line="360" w:lineRule="auto"/>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 xml:space="preserve">    (1)受托人不得以任何理由向委托人及其工作人员行贿或馈赠礼金、有价证券、贵重礼品。</w:t>
      </w:r>
    </w:p>
    <w:p>
      <w:pPr>
        <w:pStyle w:val="18"/>
        <w:spacing w:line="360" w:lineRule="auto"/>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 xml:space="preserve">    (2) 受托人不得以任何名义为委托人及其工作人员报销应由委托人单位或个人支付的任何费用。</w:t>
      </w:r>
    </w:p>
    <w:p>
      <w:pPr>
        <w:pStyle w:val="18"/>
        <w:spacing w:line="360" w:lineRule="auto"/>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 xml:space="preserve">    (3)受托人不得以任何理由安排委托人工作人员参加超标准宴请及娱乐活动。</w:t>
      </w:r>
    </w:p>
    <w:p>
      <w:pPr>
        <w:pStyle w:val="18"/>
        <w:spacing w:line="360" w:lineRule="auto"/>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 xml:space="preserve">    (4)受托人不得为委托人单位和个人购置或提供通讯工具、交通工具和高档办公用品等。</w:t>
      </w:r>
    </w:p>
    <w:p>
      <w:pPr>
        <w:pStyle w:val="18"/>
        <w:spacing w:line="360" w:lineRule="auto"/>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 xml:space="preserve">   （5）受托人及其工作人员不得索要或接受所相关项目单位（第三方）的礼金、有价证券和贵重物品，不得在第三方报销任何应由乙方或乙方个人支付的费用等。</w:t>
      </w:r>
    </w:p>
    <w:p>
      <w:pPr>
        <w:pStyle w:val="18"/>
        <w:spacing w:line="360" w:lineRule="auto"/>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 xml:space="preserve">   （6）受托人及其工作人员必须严格按照服务服务规程办事。不得与相关单位串通，损害委托人利益。</w:t>
      </w:r>
    </w:p>
    <w:p>
      <w:pPr>
        <w:pStyle w:val="18"/>
        <w:spacing w:line="360" w:lineRule="auto"/>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 xml:space="preserve">   第四条 违约责任</w:t>
      </w:r>
    </w:p>
    <w:p>
      <w:pPr>
        <w:pStyle w:val="18"/>
        <w:spacing w:line="360" w:lineRule="auto"/>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 xml:space="preserve">    (1)委托人及其工作人员违反本合同第一、二条，按管理权限，依据有关规定给予党纪、政纪或组织处理；涉嫌犯罪的，移交司法机关追究刑事责任；给受托人造成经济损失的，应予以赔偿。</w:t>
      </w:r>
    </w:p>
    <w:p>
      <w:pPr>
        <w:pStyle w:val="18"/>
        <w:spacing w:line="360" w:lineRule="auto"/>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 xml:space="preserve">    (2) 受托人及其工作人员违反本合同第一、三条，按管理权限，依据有关规定给予党纪、政纪或组织处理；给委托人单位造成经济损失的，应予以赔偿；情节严重的，委托人建议交通主管部门给予受托人一至三年内不得进入其主管的公路建设市场的处罚。</w:t>
      </w:r>
    </w:p>
    <w:p>
      <w:pPr>
        <w:pStyle w:val="18"/>
        <w:spacing w:line="360" w:lineRule="auto"/>
        <w:ind w:firstLine="420"/>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第五条 双方约定</w:t>
      </w:r>
    </w:p>
    <w:p>
      <w:pPr>
        <w:pStyle w:val="18"/>
        <w:spacing w:line="360" w:lineRule="auto"/>
        <w:ind w:firstLine="420"/>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本合同由双方或双方上级单位的纪检监察部门负责监督。由委托人或委托人上级单位的纪检监察部门约请受托人或受托人上级单位纪检监察部门对本合同执行情况进行检查，提出在本合同规定范围内的裁定意见。</w:t>
      </w:r>
    </w:p>
    <w:p>
      <w:pPr>
        <w:spacing w:line="360" w:lineRule="auto"/>
        <w:ind w:firstLine="291" w:firstLineChars="104"/>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第六条 本合同有效期为双方合同签订之日起，合同期限为1年。</w:t>
      </w:r>
    </w:p>
    <w:p>
      <w:pPr>
        <w:pStyle w:val="18"/>
        <w:spacing w:line="360" w:lineRule="auto"/>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 xml:space="preserve">    第七条 本合同作为四川成渝高速公路股份有限公司公路运营管理一分公司</w:t>
      </w:r>
      <w:r>
        <w:rPr>
          <w:rFonts w:hint="eastAsia" w:ascii="仿宋_GB2312" w:hAnsi="仿宋_GB2312" w:eastAsia="仿宋_GB2312" w:cs="仿宋_GB2312"/>
          <w:bCs/>
          <w:kern w:val="2"/>
          <w:sz w:val="28"/>
          <w:szCs w:val="28"/>
          <w:lang w:eastAsia="zh-CN"/>
        </w:rPr>
        <w:t>双重预防机制建设和安全生产标准化二级达标创建技术服务项目</w:t>
      </w:r>
      <w:r>
        <w:rPr>
          <w:rFonts w:hint="eastAsia" w:ascii="仿宋_GB2312" w:hAnsi="仿宋_GB2312" w:eastAsia="仿宋_GB2312" w:cs="仿宋_GB2312"/>
          <w:bCs/>
          <w:kern w:val="2"/>
          <w:sz w:val="28"/>
          <w:szCs w:val="28"/>
        </w:rPr>
        <w:t>合同文件的附件，与技术服务合同具有同等的法律效力，经合同双方签署后立即生效。</w:t>
      </w:r>
    </w:p>
    <w:p>
      <w:pPr>
        <w:pStyle w:val="18"/>
        <w:spacing w:line="360" w:lineRule="auto"/>
        <w:ind w:firstLine="480"/>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第八条 本合同一式  份，由委托人和受托人各执  份。</w:t>
      </w:r>
    </w:p>
    <w:tbl>
      <w:tblPr>
        <w:tblStyle w:val="32"/>
        <w:tblW w:w="907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35"/>
        <w:gridCol w:w="43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35" w:type="dxa"/>
          </w:tcPr>
          <w:p>
            <w:pPr>
              <w:spacing w:line="540" w:lineRule="exact"/>
              <w:ind w:left="960" w:hanging="960" w:hangingChars="4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发包人：</w:t>
            </w:r>
            <w:r>
              <w:rPr>
                <w:rFonts w:hint="eastAsia" w:ascii="仿宋_GB2312" w:hAnsi="仿宋_GB2312" w:eastAsia="仿宋_GB2312" w:cs="仿宋_GB2312"/>
                <w:sz w:val="24"/>
                <w:szCs w:val="24"/>
                <w:u w:val="single"/>
              </w:rPr>
              <w:t>四川成渝高速公路股份有限公司公路运营管理一分公司</w:t>
            </w:r>
            <w:r>
              <w:rPr>
                <w:rFonts w:hint="eastAsia" w:ascii="仿宋_GB2312" w:hAnsi="仿宋_GB2312" w:eastAsia="仿宋_GB2312" w:cs="仿宋_GB2312"/>
                <w:sz w:val="24"/>
                <w:szCs w:val="24"/>
              </w:rPr>
              <w:t xml:space="preserve">（盖单位章） </w:t>
            </w:r>
          </w:p>
        </w:tc>
        <w:tc>
          <w:tcPr>
            <w:tcW w:w="4337" w:type="dxa"/>
          </w:tcPr>
          <w:p>
            <w:pPr>
              <w:spacing w:line="540" w:lineRule="exac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承包人：</w:t>
            </w:r>
            <w:r>
              <w:rPr>
                <w:rFonts w:hint="eastAsia" w:ascii="仿宋_GB2312" w:hAnsi="仿宋_GB2312" w:eastAsia="仿宋_GB2312" w:cs="仿宋_GB2312"/>
                <w:sz w:val="24"/>
                <w:szCs w:val="24"/>
                <w:u w:val="single"/>
              </w:rPr>
              <w:t xml:space="preserve">                        </w:t>
            </w:r>
          </w:p>
          <w:p>
            <w:pPr>
              <w:spacing w:line="540" w:lineRule="exact"/>
              <w:ind w:left="840" w:leftChars="400"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（盖单位章）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35" w:type="dxa"/>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p>
            <w:pPr>
              <w:spacing w:line="360" w:lineRule="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或其委托代理人：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（签字）</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承办部门负责人：</w:t>
            </w: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c>
          <w:tcPr>
            <w:tcW w:w="4337" w:type="dxa"/>
          </w:tcPr>
          <w:p>
            <w:pPr>
              <w:spacing w:line="5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p>
            <w:pPr>
              <w:spacing w:line="5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或其委托代理人：         （签字）</w:t>
            </w: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bl>
    <w:p>
      <w:pPr>
        <w:pStyle w:val="2"/>
        <w:ind w:firstLine="480"/>
      </w:pPr>
    </w:p>
    <w:p>
      <w:pPr>
        <w:rPr>
          <w:rFonts w:hint="eastAsia" w:ascii="仿宋" w:hAnsi="仿宋" w:eastAsia="仿宋" w:cs="仿宋"/>
        </w:rPr>
      </w:pPr>
    </w:p>
    <w:p>
      <w:pPr>
        <w:jc w:val="center"/>
        <w:outlineLvl w:val="9"/>
        <w:rPr>
          <w:rFonts w:hint="eastAsia" w:ascii="仿宋" w:hAnsi="仿宋" w:eastAsia="仿宋" w:cs="仿宋"/>
        </w:rPr>
      </w:pPr>
      <w:bookmarkStart w:id="66" w:name="_Toc29215"/>
    </w:p>
    <w:p>
      <w:pPr>
        <w:jc w:val="center"/>
        <w:outlineLvl w:val="9"/>
        <w:rPr>
          <w:rFonts w:hint="eastAsia" w:ascii="仿宋" w:hAnsi="仿宋" w:eastAsia="仿宋" w:cs="仿宋"/>
        </w:rPr>
      </w:pPr>
    </w:p>
    <w:p>
      <w:pPr>
        <w:pStyle w:val="5"/>
        <w:jc w:val="center"/>
        <w:rPr>
          <w:rFonts w:hint="eastAsia" w:ascii="仿宋" w:hAnsi="仿宋" w:eastAsia="仿宋" w:cs="仿宋"/>
        </w:rPr>
      </w:pPr>
      <w:r>
        <w:rPr>
          <w:rFonts w:hint="eastAsia" w:ascii="仿宋" w:hAnsi="仿宋" w:eastAsia="仿宋" w:cs="仿宋"/>
        </w:rPr>
        <w:t>第五篇  比选申请文件格式</w:t>
      </w:r>
      <w:bookmarkEnd w:id="66"/>
    </w:p>
    <w:p>
      <w:pPr>
        <w:jc w:val="left"/>
        <w:rPr>
          <w:rFonts w:hint="eastAsia" w:ascii="仿宋_GB2312" w:hAnsi="仿宋_GB2312" w:eastAsia="仿宋_GB2312" w:cs="仿宋_GB2312"/>
          <w:sz w:val="28"/>
          <w:szCs w:val="24"/>
        </w:rPr>
        <w:sectPr>
          <w:pgSz w:w="11911" w:h="16838"/>
          <w:pgMar w:top="1474" w:right="1474" w:bottom="1474" w:left="1474" w:header="799" w:footer="918" w:gutter="0"/>
          <w:pgNumType w:fmt="decimal"/>
          <w:cols w:space="0" w:num="1"/>
        </w:sectPr>
      </w:pPr>
    </w:p>
    <w:p>
      <w:pPr>
        <w:spacing w:line="600" w:lineRule="exact"/>
        <w:jc w:val="center"/>
        <w:rPr>
          <w:rFonts w:hint="eastAsia" w:ascii="仿宋_GB2312" w:hAnsi="仿宋_GB2312" w:eastAsia="仿宋_GB2312" w:cs="仿宋_GB2312"/>
          <w:b/>
          <w:bCs/>
          <w:sz w:val="32"/>
          <w:szCs w:val="32"/>
        </w:rPr>
      </w:pPr>
    </w:p>
    <w:p>
      <w:pPr>
        <w:spacing w:line="6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四川成渝高速公路股份有限公司公路运营管理一分公司</w:t>
      </w:r>
    </w:p>
    <w:p>
      <w:pPr>
        <w:spacing w:line="600" w:lineRule="exact"/>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双重预防机制建设和安全生产标准化二级达标创建技术服务项目</w:t>
      </w:r>
    </w:p>
    <w:p>
      <w:pPr>
        <w:widowControl/>
        <w:autoSpaceDE w:val="0"/>
        <w:autoSpaceDN w:val="0"/>
        <w:spacing w:line="600" w:lineRule="exact"/>
        <w:jc w:val="center"/>
        <w:textAlignment w:val="bottom"/>
        <w:rPr>
          <w:rFonts w:hint="eastAsia" w:ascii="仿宋_GB2312" w:hAnsi="仿宋_GB2312" w:eastAsia="仿宋_GB2312" w:cs="仿宋_GB2312"/>
          <w:sz w:val="28"/>
          <w:szCs w:val="24"/>
        </w:rPr>
      </w:pPr>
    </w:p>
    <w:p>
      <w:pPr>
        <w:widowControl/>
        <w:autoSpaceDE w:val="0"/>
        <w:autoSpaceDN w:val="0"/>
        <w:spacing w:line="600" w:lineRule="exact"/>
        <w:jc w:val="center"/>
        <w:textAlignment w:val="bottom"/>
        <w:rPr>
          <w:rFonts w:hint="eastAsia" w:ascii="仿宋_GB2312" w:hAnsi="仿宋_GB2312" w:eastAsia="仿宋_GB2312" w:cs="仿宋_GB2312"/>
          <w:sz w:val="28"/>
          <w:szCs w:val="24"/>
        </w:rPr>
      </w:pPr>
    </w:p>
    <w:p>
      <w:pPr>
        <w:widowControl/>
        <w:autoSpaceDE w:val="0"/>
        <w:autoSpaceDN w:val="0"/>
        <w:spacing w:line="600" w:lineRule="exact"/>
        <w:jc w:val="center"/>
        <w:textAlignment w:val="bottom"/>
        <w:rPr>
          <w:rFonts w:hint="eastAsia" w:ascii="仿宋_GB2312" w:hAnsi="仿宋_GB2312" w:eastAsia="仿宋_GB2312" w:cs="仿宋_GB2312"/>
          <w:sz w:val="28"/>
          <w:szCs w:val="24"/>
        </w:rPr>
      </w:pPr>
    </w:p>
    <w:p>
      <w:pPr>
        <w:widowControl/>
        <w:autoSpaceDE w:val="0"/>
        <w:autoSpaceDN w:val="0"/>
        <w:spacing w:line="600" w:lineRule="exact"/>
        <w:jc w:val="center"/>
        <w:textAlignment w:val="bottom"/>
        <w:rPr>
          <w:rFonts w:hint="eastAsia" w:ascii="仿宋_GB2312" w:hAnsi="仿宋_GB2312" w:eastAsia="仿宋_GB2312" w:cs="仿宋_GB2312"/>
          <w:sz w:val="28"/>
          <w:szCs w:val="24"/>
        </w:rPr>
      </w:pPr>
    </w:p>
    <w:p>
      <w:pPr>
        <w:widowControl/>
        <w:autoSpaceDE w:val="0"/>
        <w:autoSpaceDN w:val="0"/>
        <w:spacing w:line="600" w:lineRule="exact"/>
        <w:jc w:val="center"/>
        <w:textAlignment w:val="bottom"/>
        <w:rPr>
          <w:rFonts w:hint="eastAsia" w:ascii="仿宋_GB2312" w:hAnsi="仿宋_GB2312" w:eastAsia="仿宋_GB2312" w:cs="仿宋_GB2312"/>
          <w:sz w:val="30"/>
          <w:szCs w:val="30"/>
        </w:rPr>
      </w:pPr>
    </w:p>
    <w:p>
      <w:pPr>
        <w:widowControl/>
        <w:autoSpaceDE w:val="0"/>
        <w:autoSpaceDN w:val="0"/>
        <w:spacing w:before="240" w:line="600" w:lineRule="exact"/>
        <w:jc w:val="center"/>
        <w:textAlignment w:val="bottom"/>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比 选 申 请 文 件</w:t>
      </w:r>
    </w:p>
    <w:p>
      <w:pPr>
        <w:spacing w:line="600" w:lineRule="exact"/>
        <w:jc w:val="center"/>
        <w:outlineLvl w:val="1"/>
        <w:rPr>
          <w:rFonts w:hint="eastAsia" w:ascii="仿宋_GB2312" w:hAnsi="仿宋_GB2312" w:eastAsia="仿宋_GB2312" w:cs="仿宋_GB2312"/>
          <w:sz w:val="30"/>
          <w:szCs w:val="30"/>
        </w:rPr>
      </w:pPr>
      <w:r>
        <w:rPr>
          <w:rFonts w:hint="eastAsia" w:cs="仿宋" w:asciiTheme="minorEastAsia" w:hAnsiTheme="minorEastAsia" w:eastAsiaTheme="minorEastAsia"/>
          <w:b/>
          <w:color w:val="000000"/>
          <w:sz w:val="24"/>
        </w:rPr>
        <w:t>第一个信封（商务及技术文件）</w:t>
      </w:r>
    </w:p>
    <w:p>
      <w:pPr>
        <w:spacing w:line="600" w:lineRule="exact"/>
        <w:jc w:val="center"/>
        <w:rPr>
          <w:rFonts w:hint="eastAsia" w:ascii="仿宋_GB2312" w:hAnsi="仿宋_GB2312" w:eastAsia="仿宋_GB2312" w:cs="仿宋_GB2312"/>
          <w:sz w:val="30"/>
          <w:szCs w:val="30"/>
        </w:rPr>
      </w:pPr>
    </w:p>
    <w:p>
      <w:pPr>
        <w:spacing w:line="600" w:lineRule="exact"/>
        <w:jc w:val="center"/>
        <w:rPr>
          <w:rFonts w:hint="eastAsia" w:ascii="仿宋_GB2312" w:hAnsi="仿宋_GB2312" w:eastAsia="仿宋_GB2312" w:cs="仿宋_GB2312"/>
          <w:sz w:val="30"/>
          <w:szCs w:val="30"/>
        </w:rPr>
      </w:pPr>
    </w:p>
    <w:p>
      <w:pPr>
        <w:spacing w:line="600" w:lineRule="exact"/>
        <w:jc w:val="center"/>
        <w:rPr>
          <w:rFonts w:hint="eastAsia" w:ascii="仿宋_GB2312" w:hAnsi="仿宋_GB2312" w:eastAsia="仿宋_GB2312" w:cs="仿宋_GB2312"/>
          <w:sz w:val="30"/>
          <w:szCs w:val="30"/>
        </w:rPr>
      </w:pPr>
    </w:p>
    <w:p>
      <w:pPr>
        <w:spacing w:line="600" w:lineRule="exact"/>
        <w:ind w:firstLine="2250" w:firstLineChars="750"/>
        <w:jc w:val="left"/>
        <w:rPr>
          <w:rFonts w:hint="eastAsia" w:ascii="仿宋_GB2312" w:hAnsi="仿宋_GB2312" w:eastAsia="仿宋_GB2312" w:cs="仿宋_GB2312"/>
          <w:sz w:val="30"/>
          <w:szCs w:val="30"/>
        </w:rPr>
      </w:pPr>
    </w:p>
    <w:p>
      <w:pPr>
        <w:spacing w:line="600" w:lineRule="exact"/>
        <w:ind w:firstLine="2250" w:firstLineChars="750"/>
        <w:jc w:val="left"/>
        <w:rPr>
          <w:rFonts w:hint="eastAsia" w:ascii="仿宋_GB2312" w:hAnsi="仿宋_GB2312" w:eastAsia="仿宋_GB2312" w:cs="仿宋_GB2312"/>
          <w:sz w:val="30"/>
          <w:szCs w:val="30"/>
        </w:rPr>
      </w:pPr>
    </w:p>
    <w:p>
      <w:pPr>
        <w:spacing w:line="6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比选申请人</w:t>
      </w:r>
      <w:r>
        <w:rPr>
          <w:rFonts w:hint="eastAsia" w:ascii="仿宋_GB2312" w:hAnsi="仿宋_GB2312" w:eastAsia="仿宋_GB2312" w:cs="仿宋_GB2312"/>
          <w:sz w:val="30"/>
          <w:szCs w:val="30"/>
          <w:u w:val="single"/>
        </w:rPr>
        <w:t>：                （单位全称、加盖公章）</w:t>
      </w:r>
      <w:r>
        <w:rPr>
          <w:rFonts w:hint="eastAsia" w:ascii="仿宋_GB2312" w:hAnsi="仿宋_GB2312" w:eastAsia="仿宋_GB2312" w:cs="仿宋_GB2312"/>
          <w:sz w:val="30"/>
          <w:szCs w:val="30"/>
        </w:rPr>
        <w:t xml:space="preserve"> </w:t>
      </w:r>
    </w:p>
    <w:p>
      <w:pPr>
        <w:spacing w:before="120" w:beforeLines="50" w:line="6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pPr>
        <w:spacing w:before="120" w:beforeLines="50" w:line="600" w:lineRule="exact"/>
        <w:jc w:val="center"/>
        <w:rPr>
          <w:rFonts w:hint="eastAsia" w:ascii="仿宋_GB2312" w:hAnsi="仿宋_GB2312" w:eastAsia="仿宋_GB2312" w:cs="仿宋_GB2312"/>
          <w:sz w:val="30"/>
          <w:szCs w:val="30"/>
        </w:rPr>
      </w:pPr>
    </w:p>
    <w:p>
      <w:pPr>
        <w:spacing w:before="120" w:beforeLines="50" w:line="600" w:lineRule="exact"/>
        <w:jc w:val="center"/>
        <w:rPr>
          <w:rFonts w:hint="eastAsia" w:ascii="仿宋_GB2312" w:hAnsi="仿宋_GB2312" w:eastAsia="仿宋_GB2312" w:cs="仿宋_GB2312"/>
          <w:sz w:val="30"/>
          <w:szCs w:val="30"/>
        </w:rPr>
      </w:pPr>
    </w:p>
    <w:p>
      <w:pPr>
        <w:rPr>
          <w:rFonts w:hint="eastAsia" w:ascii="仿宋_GB2312" w:hAnsi="仿宋_GB2312" w:eastAsia="仿宋_GB2312" w:cs="仿宋_GB2312"/>
          <w:sz w:val="44"/>
          <w:szCs w:val="44"/>
        </w:rPr>
      </w:pPr>
      <w:bookmarkStart w:id="67" w:name="_Toc455607504"/>
      <w:bookmarkStart w:id="68" w:name="_Toc456166141"/>
      <w:r>
        <w:rPr>
          <w:rFonts w:hint="eastAsia" w:ascii="仿宋_GB2312" w:hAnsi="仿宋_GB2312" w:eastAsia="仿宋_GB2312" w:cs="仿宋_GB2312"/>
          <w:sz w:val="44"/>
          <w:szCs w:val="44"/>
        </w:rPr>
        <w:br w:type="page"/>
      </w:r>
    </w:p>
    <w:p>
      <w:pPr>
        <w:widowControl/>
        <w:spacing w:line="600" w:lineRule="exact"/>
        <w:ind w:firstLine="770" w:firstLineChars="175"/>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目   录</w:t>
      </w:r>
    </w:p>
    <w:p>
      <w:pPr>
        <w:spacing w:line="600" w:lineRule="exact"/>
        <w:ind w:firstLine="560"/>
        <w:rPr>
          <w:rFonts w:hint="eastAsia" w:ascii="仿宋_GB2312" w:hAnsi="仿宋_GB2312" w:eastAsia="仿宋_GB2312" w:cs="仿宋_GB2312"/>
          <w:sz w:val="28"/>
          <w:szCs w:val="24"/>
        </w:rPr>
      </w:pPr>
      <w:r>
        <w:rPr>
          <w:rFonts w:hint="eastAsia" w:cs="仿宋" w:asciiTheme="minorEastAsia" w:hAnsiTheme="minorEastAsia" w:eastAsiaTheme="minorEastAsia"/>
          <w:b/>
          <w:color w:val="000000"/>
          <w:sz w:val="24"/>
          <w:szCs w:val="24"/>
        </w:rPr>
        <w:t>第一个信封（商务及技术文件）：</w:t>
      </w:r>
    </w:p>
    <w:p>
      <w:pPr>
        <w:spacing w:line="600" w:lineRule="exact"/>
        <w:ind w:firstLine="56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一、比选申请函</w:t>
      </w:r>
    </w:p>
    <w:p>
      <w:pPr>
        <w:spacing w:line="600" w:lineRule="exact"/>
        <w:ind w:firstLine="56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二、法定代表人身份证明或法人授权委托书</w:t>
      </w:r>
    </w:p>
    <w:p>
      <w:pPr>
        <w:spacing w:line="600" w:lineRule="exact"/>
        <w:ind w:firstLine="56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三、资格审查资料</w:t>
      </w:r>
    </w:p>
    <w:p>
      <w:pPr>
        <w:spacing w:line="600" w:lineRule="exact"/>
        <w:ind w:firstLine="56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四、项目组人员配置及要求</w:t>
      </w:r>
    </w:p>
    <w:p>
      <w:pPr>
        <w:spacing w:line="600" w:lineRule="exact"/>
        <w:ind w:firstLine="56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五、技术服务方案</w:t>
      </w:r>
    </w:p>
    <w:p>
      <w:pPr>
        <w:spacing w:line="600" w:lineRule="exact"/>
        <w:ind w:firstLine="56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六、比选申请人提供的其他材料（如有）</w:t>
      </w:r>
    </w:p>
    <w:p>
      <w:pPr>
        <w:spacing w:line="600" w:lineRule="exact"/>
        <w:ind w:firstLine="560"/>
        <w:rPr>
          <w:rFonts w:hint="eastAsia" w:ascii="仿宋_GB2312" w:hAnsi="仿宋_GB2312" w:eastAsia="仿宋_GB2312" w:cs="仿宋_GB2312"/>
          <w:sz w:val="28"/>
          <w:szCs w:val="24"/>
        </w:rPr>
      </w:pPr>
    </w:p>
    <w:bookmarkEnd w:id="67"/>
    <w:bookmarkEnd w:id="68"/>
    <w:p>
      <w:pPr>
        <w:rPr>
          <w:rFonts w:hint="eastAsia" w:ascii="仿宋_GB2312" w:hAnsi="仿宋_GB2312" w:eastAsia="仿宋_GB2312" w:cs="仿宋_GB2312"/>
          <w:sz w:val="28"/>
          <w:szCs w:val="24"/>
        </w:rPr>
      </w:pPr>
      <w:bookmarkStart w:id="69" w:name="_Toc5807"/>
      <w:bookmarkStart w:id="70" w:name="_Toc2248"/>
      <w:bookmarkStart w:id="71" w:name="_Toc13798"/>
      <w:bookmarkStart w:id="72" w:name="_Toc28945"/>
      <w:bookmarkStart w:id="73" w:name="_Toc26814"/>
      <w:bookmarkStart w:id="74" w:name="_Toc2567"/>
      <w:bookmarkStart w:id="75" w:name="_Toc32305"/>
      <w:bookmarkStart w:id="76" w:name="_Toc2803"/>
      <w:bookmarkStart w:id="77" w:name="_Toc14556"/>
      <w:r>
        <w:rPr>
          <w:rFonts w:hint="eastAsia" w:ascii="仿宋_GB2312" w:hAnsi="仿宋_GB2312" w:eastAsia="仿宋_GB2312" w:cs="仿宋_GB2312"/>
          <w:sz w:val="28"/>
          <w:szCs w:val="24"/>
        </w:rPr>
        <w:br w:type="page"/>
      </w:r>
    </w:p>
    <w:p>
      <w:pPr>
        <w:spacing w:line="600" w:lineRule="exact"/>
        <w:jc w:val="center"/>
        <w:outlineLvl w:val="2"/>
        <w:rPr>
          <w:rFonts w:hint="eastAsia" w:ascii="仿宋" w:hAnsi="仿宋" w:eastAsia="仿宋" w:cs="仿宋"/>
          <w:b/>
          <w:sz w:val="28"/>
          <w:szCs w:val="28"/>
        </w:rPr>
      </w:pPr>
      <w:r>
        <w:rPr>
          <w:rFonts w:hint="eastAsia" w:ascii="仿宋_GB2312" w:hAnsi="仿宋_GB2312" w:eastAsia="仿宋_GB2312" w:cs="仿宋_GB2312"/>
          <w:sz w:val="28"/>
          <w:szCs w:val="24"/>
        </w:rPr>
        <w:t>一、</w:t>
      </w:r>
      <w:r>
        <w:rPr>
          <w:rFonts w:hint="eastAsia" w:ascii="仿宋" w:hAnsi="仿宋" w:eastAsia="仿宋" w:cs="仿宋"/>
          <w:b/>
          <w:sz w:val="28"/>
          <w:szCs w:val="28"/>
        </w:rPr>
        <w:t>比选申请函</w:t>
      </w:r>
    </w:p>
    <w:p>
      <w:pPr>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4"/>
          <w:szCs w:val="24"/>
        </w:rPr>
      </w:pPr>
    </w:p>
    <w:p>
      <w:pPr>
        <w:spacing w:line="480" w:lineRule="exact"/>
        <w:rPr>
          <w:rFonts w:hint="eastAsia" w:ascii="仿宋_GB2312" w:hAnsi="仿宋_GB2312" w:eastAsia="仿宋_GB2312" w:cs="仿宋_GB2312"/>
          <w:szCs w:val="21"/>
        </w:rPr>
      </w:pP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（比选人名称）：</w:t>
      </w:r>
    </w:p>
    <w:p>
      <w:pPr>
        <w:snapToGrid w:val="0"/>
        <w:spacing w:line="480" w:lineRule="exact"/>
        <w:rPr>
          <w:rFonts w:hint="eastAsia" w:ascii="仿宋_GB2312" w:hAnsi="仿宋_GB2312" w:eastAsia="仿宋_GB2312" w:cs="仿宋_GB2312"/>
          <w:szCs w:val="21"/>
        </w:rPr>
      </w:pPr>
      <w:r>
        <w:rPr>
          <w:rFonts w:hint="eastAsia" w:ascii="仿宋_GB2312" w:hAnsi="仿宋_GB2312" w:eastAsia="仿宋_GB2312" w:cs="仿宋_GB2312"/>
          <w:szCs w:val="21"/>
        </w:rPr>
        <w:t xml:space="preserve">    1</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我方已仔细研究了（项目名称、标段号）比选文件的全部内容（含全部补遗书（如果有）），经现场考察研究后，决定参加该项目比选申请。我方就上述相关服务进行报价，其中报价详见第二封信报价函。</w:t>
      </w:r>
    </w:p>
    <w:p>
      <w:pPr>
        <w:spacing w:line="480" w:lineRule="exact"/>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2</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我方承诺在比选申请有效期</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120天</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内不撤销比选申请文件。</w:t>
      </w:r>
    </w:p>
    <w:p>
      <w:pPr>
        <w:spacing w:line="480" w:lineRule="exact"/>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3</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如我方中选，我方承诺：</w:t>
      </w:r>
    </w:p>
    <w:p>
      <w:pPr>
        <w:spacing w:line="480" w:lineRule="exact"/>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（1）在收到中选通知书后，在中选通知书规定的期限内与你方签订合同；</w:t>
      </w:r>
    </w:p>
    <w:p>
      <w:pPr>
        <w:spacing w:line="480" w:lineRule="exact"/>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（2）在签订合同时不向你方提出附加条件；</w:t>
      </w:r>
    </w:p>
    <w:p>
      <w:pPr>
        <w:spacing w:line="480" w:lineRule="exact"/>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（3）我方承诺在合同约定的期限内完成全部服务合同。</w:t>
      </w:r>
    </w:p>
    <w:p>
      <w:pPr>
        <w:spacing w:line="480" w:lineRule="exact"/>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（4）在你方和我方进行合同谈判之前，我方将按照招标文件提出的最低要求填报派驻本项目人员，如我方拟派驻的人员不满足招标文件要求，你方有权取消我方中</w:t>
      </w:r>
      <w:r>
        <w:rPr>
          <w:rFonts w:hint="eastAsia" w:ascii="仿宋_GB2312" w:hAnsi="仿宋_GB2312" w:eastAsia="仿宋_GB2312" w:cs="仿宋_GB2312"/>
          <w:szCs w:val="21"/>
          <w:lang w:val="en-US" w:eastAsia="zh-CN"/>
        </w:rPr>
        <w:t>选</w:t>
      </w:r>
      <w:r>
        <w:rPr>
          <w:rFonts w:hint="eastAsia" w:ascii="仿宋_GB2312" w:hAnsi="仿宋_GB2312" w:eastAsia="仿宋_GB2312" w:cs="仿宋_GB2312"/>
          <w:szCs w:val="21"/>
        </w:rPr>
        <w:t>资格。</w:t>
      </w:r>
    </w:p>
    <w:p>
      <w:pPr>
        <w:spacing w:line="480" w:lineRule="exact"/>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4.我方愿意提供比选人可能另外要求的，与比选有关的文件资料，并保证我方已提供和将要提供的文件资料是真实、准确的。且不存在联合体比选申请、转包和违法分包的情况，不存在比选文件第二章“比选申请人须知”第</w:t>
      </w:r>
      <w:r>
        <w:rPr>
          <w:rFonts w:hint="eastAsia" w:ascii="仿宋_GB2312" w:hAnsi="仿宋_GB2312" w:eastAsia="仿宋_GB2312" w:cs="仿宋_GB2312"/>
          <w:szCs w:val="21"/>
          <w:lang w:eastAsia="zh-CN"/>
        </w:rPr>
        <w:t>3</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项规定的任何一种情形。同时，比选申请文件中权利义务符合第二章“比选申请人须知”前附表第</w:t>
      </w:r>
      <w:r>
        <w:rPr>
          <w:rFonts w:hint="eastAsia" w:ascii="仿宋_GB2312" w:hAnsi="仿宋_GB2312" w:eastAsia="仿宋_GB2312" w:cs="仿宋_GB2312"/>
          <w:szCs w:val="21"/>
          <w:lang w:eastAsia="zh-CN"/>
        </w:rPr>
        <w:t>3</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rPr>
        <w:t>款的规定。</w:t>
      </w:r>
    </w:p>
    <w:p>
      <w:pPr>
        <w:spacing w:line="480" w:lineRule="exact"/>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5.若我方为第一中选候选人，但因存在“比选申请人须知”第3</w:t>
      </w:r>
      <w:r>
        <w:rPr>
          <w:rFonts w:hint="eastAsia" w:ascii="仿宋_GB2312" w:hAnsi="仿宋_GB2312" w:eastAsia="仿宋_GB2312" w:cs="仿宋_GB2312"/>
          <w:szCs w:val="21"/>
          <w:lang w:eastAsia="zh-CN"/>
        </w:rPr>
        <w:t>4</w:t>
      </w:r>
      <w:r>
        <w:rPr>
          <w:rFonts w:hint="eastAsia" w:ascii="仿宋_GB2312" w:hAnsi="仿宋_GB2312" w:eastAsia="仿宋_GB2312" w:cs="仿宋_GB2312"/>
          <w:szCs w:val="21"/>
        </w:rPr>
        <w:t>项涉及关联关系，我方自愿放弃第一中选候选人资格。</w:t>
      </w:r>
    </w:p>
    <w:p>
      <w:pPr>
        <w:spacing w:line="480" w:lineRule="exact"/>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6.</w:t>
      </w:r>
      <w:r>
        <w:rPr>
          <w:rFonts w:hint="eastAsia" w:ascii="仿宋_GB2312" w:hAnsi="仿宋_GB2312" w:eastAsia="仿宋_GB2312" w:cs="仿宋_GB2312"/>
          <w:szCs w:val="21"/>
        </w:rPr>
        <w:t xml:space="preserve">我方承诺在本比选申请文件有效期内，本比选申请函对我方具有约束力，并随时接受中选。 </w:t>
      </w:r>
    </w:p>
    <w:p>
      <w:pPr>
        <w:spacing w:line="480" w:lineRule="exact"/>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7.</w:t>
      </w:r>
      <w:r>
        <w:rPr>
          <w:rFonts w:hint="eastAsia" w:ascii="仿宋_GB2312" w:hAnsi="仿宋_GB2312" w:eastAsia="仿宋_GB2312" w:cs="仿宋_GB2312"/>
          <w:szCs w:val="21"/>
        </w:rPr>
        <w:t>在合同协议书正式签署生效之前，本比选申请函连同你方的中选通知书将构成我们双方之间共同遵守的文件，对双方具有约束力。</w:t>
      </w:r>
    </w:p>
    <w:p>
      <w:pPr>
        <w:snapToGrid w:val="0"/>
        <w:spacing w:line="480" w:lineRule="exact"/>
        <w:ind w:firstLine="2520" w:firstLineChars="1200"/>
        <w:rPr>
          <w:rFonts w:hint="eastAsia" w:ascii="仿宋_GB2312" w:hAnsi="仿宋_GB2312" w:eastAsia="仿宋_GB2312" w:cs="仿宋_GB2312"/>
          <w:szCs w:val="21"/>
        </w:rPr>
      </w:pPr>
    </w:p>
    <w:p>
      <w:pPr>
        <w:snapToGrid w:val="0"/>
        <w:spacing w:line="480" w:lineRule="exact"/>
        <w:ind w:firstLine="3990" w:firstLineChars="1900"/>
        <w:rPr>
          <w:rFonts w:hint="eastAsia" w:ascii="仿宋_GB2312" w:hAnsi="仿宋_GB2312" w:eastAsia="仿宋_GB2312" w:cs="仿宋_GB2312"/>
          <w:szCs w:val="21"/>
        </w:rPr>
      </w:pPr>
      <w:r>
        <w:rPr>
          <w:rFonts w:hint="eastAsia" w:ascii="仿宋_GB2312" w:hAnsi="仿宋_GB2312" w:eastAsia="仿宋_GB2312" w:cs="仿宋_GB2312"/>
          <w:szCs w:val="21"/>
        </w:rPr>
        <w:t>比选申请人</w:t>
      </w:r>
      <w:r>
        <w:rPr>
          <w:rFonts w:hint="eastAsia" w:ascii="仿宋_GB2312" w:hAnsi="仿宋_GB2312" w:eastAsia="仿宋_GB2312" w:cs="仿宋_GB2312"/>
          <w:szCs w:val="21"/>
          <w:u w:val="single"/>
        </w:rPr>
        <w:t xml:space="preserve">：       （全称） </w:t>
      </w:r>
      <w:r>
        <w:rPr>
          <w:rFonts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（盖章）  </w:t>
      </w:r>
    </w:p>
    <w:p>
      <w:pPr>
        <w:snapToGrid w:val="0"/>
        <w:spacing w:line="480" w:lineRule="exact"/>
        <w:ind w:firstLine="3990" w:firstLineChars="1900"/>
        <w:rPr>
          <w:rFonts w:hint="eastAsia" w:ascii="仿宋_GB2312" w:hAnsi="仿宋_GB2312" w:eastAsia="仿宋_GB2312" w:cs="仿宋_GB2312"/>
          <w:szCs w:val="21"/>
        </w:rPr>
      </w:pPr>
      <w:r>
        <w:rPr>
          <w:rFonts w:hint="eastAsia" w:ascii="仿宋_GB2312" w:hAnsi="仿宋_GB2312" w:eastAsia="仿宋_GB2312" w:cs="仿宋_GB2312"/>
          <w:szCs w:val="21"/>
        </w:rPr>
        <w:t>法定代表人或其授权的代理人：</w:t>
      </w:r>
      <w:r>
        <w:rPr>
          <w:rFonts w:hint="eastAsia" w:ascii="仿宋_GB2312" w:hAnsi="仿宋_GB2312" w:eastAsia="仿宋_GB2312" w:cs="仿宋_GB2312"/>
          <w:szCs w:val="21"/>
          <w:u w:val="single"/>
        </w:rPr>
        <w:t xml:space="preserve"> </w:t>
      </w:r>
      <w:r>
        <w:rPr>
          <w:rFonts w:ascii="仿宋_GB2312" w:hAnsi="仿宋_GB2312" w:eastAsia="仿宋_GB2312" w:cs="仿宋_GB2312"/>
          <w:szCs w:val="21"/>
          <w:u w:val="single"/>
        </w:rPr>
        <w:t xml:space="preserve">       </w:t>
      </w:r>
      <w:r>
        <w:rPr>
          <w:rFonts w:hint="eastAsia" w:ascii="仿宋_GB2312" w:hAnsi="仿宋_GB2312" w:eastAsia="仿宋_GB2312" w:cs="仿宋_GB2312"/>
          <w:szCs w:val="21"/>
          <w:u w:val="single"/>
        </w:rPr>
        <w:t xml:space="preserve">  </w:t>
      </w:r>
      <w:r>
        <w:rPr>
          <w:rFonts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（签字）        </w:t>
      </w:r>
      <w:r>
        <w:rPr>
          <w:rFonts w:ascii="仿宋_GB2312" w:hAnsi="仿宋_GB2312" w:eastAsia="仿宋_GB2312" w:cs="仿宋_GB2312"/>
          <w:szCs w:val="21"/>
        </w:rPr>
        <w:t xml:space="preserve">               </w:t>
      </w:r>
    </w:p>
    <w:p>
      <w:pPr>
        <w:spacing w:line="480" w:lineRule="exact"/>
        <w:ind w:firstLine="5460" w:firstLineChars="2600"/>
        <w:rPr>
          <w:rFonts w:hint="eastAsia" w:ascii="仿宋_GB2312" w:hAnsi="仿宋_GB2312" w:eastAsia="仿宋_GB2312" w:cs="仿宋_GB2312"/>
          <w:szCs w:val="21"/>
        </w:rPr>
      </w:pPr>
    </w:p>
    <w:p>
      <w:pPr>
        <w:spacing w:line="480" w:lineRule="exact"/>
        <w:ind w:firstLine="5460" w:firstLineChars="2600"/>
        <w:rPr>
          <w:rFonts w:hint="eastAsia" w:ascii="仿宋_GB2312" w:hAnsi="仿宋_GB2312" w:eastAsia="仿宋_GB2312" w:cs="仿宋_GB2312"/>
          <w:sz w:val="28"/>
          <w:szCs w:val="24"/>
        </w:rPr>
      </w:pPr>
      <w:r>
        <w:rPr>
          <w:rFonts w:hint="eastAsia" w:ascii="仿宋_GB2312" w:hAnsi="仿宋_GB2312" w:eastAsia="仿宋_GB2312" w:cs="仿宋_GB2312"/>
          <w:szCs w:val="21"/>
        </w:rPr>
        <w:t>日期：</w:t>
      </w:r>
      <w:r>
        <w:rPr>
          <w:rFonts w:ascii="仿宋_GB2312" w:hAnsi="仿宋_GB2312" w:eastAsia="仿宋_GB2312" w:cs="仿宋_GB2312"/>
          <w:szCs w:val="21"/>
        </w:rPr>
        <w:t xml:space="preserve">   </w:t>
      </w:r>
      <w:r>
        <w:rPr>
          <w:rFonts w:hint="eastAsia" w:ascii="仿宋_GB2312" w:hAnsi="仿宋_GB2312" w:eastAsia="仿宋_GB2312" w:cs="仿宋_GB2312"/>
          <w:szCs w:val="21"/>
        </w:rPr>
        <w:t>年</w:t>
      </w:r>
      <w:r>
        <w:rPr>
          <w:rFonts w:ascii="仿宋_GB2312" w:hAnsi="仿宋_GB2312" w:eastAsia="仿宋_GB2312" w:cs="仿宋_GB2312"/>
          <w:szCs w:val="21"/>
        </w:rPr>
        <w:t xml:space="preserve">   </w:t>
      </w:r>
      <w:r>
        <w:rPr>
          <w:rFonts w:hint="eastAsia" w:ascii="仿宋_GB2312" w:hAnsi="仿宋_GB2312" w:eastAsia="仿宋_GB2312" w:cs="仿宋_GB2312"/>
          <w:szCs w:val="21"/>
        </w:rPr>
        <w:t>月</w:t>
      </w:r>
      <w:r>
        <w:rPr>
          <w:rFonts w:ascii="仿宋_GB2312" w:hAnsi="仿宋_GB2312" w:eastAsia="仿宋_GB2312" w:cs="仿宋_GB2312"/>
          <w:szCs w:val="21"/>
        </w:rPr>
        <w:t xml:space="preserve">   </w:t>
      </w:r>
      <w:r>
        <w:rPr>
          <w:rFonts w:hint="eastAsia" w:ascii="仿宋_GB2312" w:hAnsi="仿宋_GB2312" w:eastAsia="仿宋_GB2312" w:cs="仿宋_GB2312"/>
          <w:szCs w:val="21"/>
        </w:rPr>
        <w:t>日</w:t>
      </w:r>
      <w:bookmarkStart w:id="78" w:name="_Toc459286558"/>
      <w:r>
        <w:rPr>
          <w:rFonts w:hint="eastAsia" w:ascii="仿宋_GB2312" w:hAnsi="仿宋_GB2312" w:eastAsia="仿宋_GB2312" w:cs="仿宋_GB2312"/>
          <w:sz w:val="28"/>
          <w:szCs w:val="24"/>
        </w:rPr>
        <w:br w:type="page"/>
      </w:r>
    </w:p>
    <w:p>
      <w:pPr>
        <w:spacing w:line="600" w:lineRule="exact"/>
        <w:jc w:val="center"/>
        <w:outlineLvl w:val="2"/>
        <w:rPr>
          <w:rFonts w:hint="eastAsia" w:ascii="仿宋_GB2312" w:hAnsi="仿宋_GB2312" w:eastAsia="仿宋_GB2312" w:cs="仿宋_GB2312"/>
          <w:b/>
          <w:bCs/>
          <w:sz w:val="28"/>
          <w:szCs w:val="24"/>
        </w:rPr>
      </w:pPr>
      <w:r>
        <w:rPr>
          <w:rFonts w:hint="eastAsia" w:ascii="仿宋_GB2312" w:hAnsi="仿宋_GB2312" w:eastAsia="仿宋_GB2312" w:cs="仿宋_GB2312"/>
          <w:b/>
          <w:bCs/>
          <w:sz w:val="28"/>
          <w:szCs w:val="24"/>
        </w:rPr>
        <w:t>二、法定代表人身份证明</w:t>
      </w:r>
      <w:bookmarkEnd w:id="78"/>
      <w:r>
        <w:rPr>
          <w:rFonts w:hint="eastAsia" w:ascii="仿宋_GB2312" w:hAnsi="仿宋_GB2312" w:eastAsia="仿宋_GB2312" w:cs="仿宋_GB2312"/>
          <w:b/>
          <w:bCs/>
          <w:sz w:val="28"/>
          <w:szCs w:val="24"/>
        </w:rPr>
        <w:t>或法人授权委托书</w:t>
      </w:r>
    </w:p>
    <w:p>
      <w:pPr>
        <w:spacing w:line="600" w:lineRule="exact"/>
        <w:jc w:val="center"/>
        <w:outlineLvl w:val="3"/>
        <w:rPr>
          <w:rFonts w:hint="eastAsia" w:ascii="仿宋_GB2312" w:hAnsi="仿宋_GB2312" w:eastAsia="仿宋_GB2312" w:cs="仿宋_GB2312"/>
          <w:b/>
          <w:bCs/>
          <w:sz w:val="28"/>
          <w:szCs w:val="24"/>
        </w:rPr>
      </w:pPr>
      <w:r>
        <w:rPr>
          <w:rFonts w:hint="eastAsia" w:ascii="仿宋_GB2312" w:hAnsi="仿宋_GB2312" w:eastAsia="仿宋_GB2312" w:cs="仿宋_GB2312"/>
          <w:b/>
          <w:bCs/>
          <w:sz w:val="28"/>
          <w:szCs w:val="24"/>
        </w:rPr>
        <w:t>（一）法定代表人身份证明</w:t>
      </w:r>
    </w:p>
    <w:p>
      <w:pPr>
        <w:spacing w:line="600" w:lineRule="exact"/>
        <w:ind w:firstLine="560" w:firstLineChars="200"/>
        <w:jc w:val="left"/>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 </w:t>
      </w:r>
    </w:p>
    <w:p>
      <w:pPr>
        <w:spacing w:line="480" w:lineRule="exact"/>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比选申请人名称：</w:t>
      </w:r>
      <w:r>
        <w:rPr>
          <w:rFonts w:hint="eastAsia" w:ascii="仿宋_GB2312" w:hAnsi="仿宋_GB2312" w:eastAsia="仿宋_GB2312" w:cs="仿宋_GB2312"/>
          <w:szCs w:val="21"/>
          <w:u w:val="single"/>
        </w:rPr>
        <w:t>___________（全称）_____________</w:t>
      </w:r>
    </w:p>
    <w:p>
      <w:pPr>
        <w:spacing w:line="480" w:lineRule="exact"/>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单位性质：____________________________</w:t>
      </w:r>
    </w:p>
    <w:p>
      <w:pPr>
        <w:spacing w:line="480" w:lineRule="exact"/>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地址：________________________________</w:t>
      </w:r>
    </w:p>
    <w:p>
      <w:pPr>
        <w:spacing w:line="480" w:lineRule="exact"/>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成立时间：________年_______月________日</w:t>
      </w:r>
    </w:p>
    <w:p>
      <w:pPr>
        <w:spacing w:line="480" w:lineRule="exact"/>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经营期限：____________________________</w:t>
      </w:r>
    </w:p>
    <w:p>
      <w:pPr>
        <w:spacing w:line="480" w:lineRule="exact"/>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姓名：________性别：________年龄：________职务：________</w:t>
      </w:r>
    </w:p>
    <w:p>
      <w:pPr>
        <w:spacing w:line="480" w:lineRule="exact"/>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系_____________________________（比选申请人全称）的法定代表人。</w:t>
      </w:r>
    </w:p>
    <w:p>
      <w:pPr>
        <w:spacing w:line="480" w:lineRule="exact"/>
        <w:ind w:firstLine="420" w:firstLineChars="200"/>
        <w:jc w:val="left"/>
        <w:rPr>
          <w:rFonts w:hint="eastAsia" w:ascii="仿宋_GB2312" w:hAnsi="仿宋_GB2312" w:eastAsia="仿宋_GB2312" w:cs="仿宋_GB2312"/>
          <w:szCs w:val="21"/>
        </w:rPr>
      </w:pPr>
    </w:p>
    <w:p>
      <w:pPr>
        <w:spacing w:line="480" w:lineRule="exact"/>
        <w:ind w:firstLine="840" w:firstLineChars="400"/>
        <w:jc w:val="left"/>
        <w:rPr>
          <w:rFonts w:hint="eastAsia" w:ascii="仿宋_GB2312" w:hAnsi="仿宋_GB2312" w:eastAsia="仿宋_GB2312" w:cs="仿宋_GB2312"/>
          <w:szCs w:val="21"/>
        </w:rPr>
      </w:pPr>
      <w:r>
        <w:rPr>
          <w:rFonts w:hint="eastAsia" w:ascii="仿宋_GB2312" w:hAnsi="仿宋_GB2312" w:eastAsia="仿宋_GB2312" w:cs="仿宋_GB2312"/>
          <w:szCs w:val="21"/>
        </w:rPr>
        <w:t>特此证明。</w:t>
      </w:r>
    </w:p>
    <w:p>
      <w:pPr>
        <w:spacing w:line="480" w:lineRule="exact"/>
        <w:ind w:firstLine="840" w:firstLineChars="400"/>
        <w:jc w:val="left"/>
        <w:rPr>
          <w:rFonts w:hint="eastAsia" w:ascii="仿宋_GB2312" w:hAnsi="仿宋_GB2312" w:eastAsia="仿宋_GB2312" w:cs="仿宋_GB2312"/>
          <w:szCs w:val="21"/>
        </w:rPr>
      </w:pPr>
      <w:r>
        <w:rPr>
          <w:rFonts w:hint="eastAsia" w:ascii="仿宋_GB2312" w:hAnsi="仿宋_GB2312" w:eastAsia="仿宋_GB2312" w:cs="仿宋_GB2312"/>
          <w:szCs w:val="21"/>
        </w:rPr>
        <w:t>附： 法定代表人身份证复印件</w:t>
      </w:r>
      <w:r>
        <w:rPr>
          <w:rFonts w:hint="eastAsia" w:ascii="仿宋_GB2312" w:hAnsi="仿宋_GB2312" w:eastAsia="仿宋_GB2312" w:cs="仿宋_GB2312"/>
          <w:bCs/>
          <w:szCs w:val="21"/>
        </w:rPr>
        <w:t>（彩色或黑白）</w:t>
      </w:r>
    </w:p>
    <w:p>
      <w:pPr>
        <w:spacing w:line="480" w:lineRule="exact"/>
        <w:ind w:firstLine="420" w:firstLineChars="200"/>
        <w:jc w:val="left"/>
        <w:rPr>
          <w:rFonts w:hint="eastAsia" w:ascii="仿宋_GB2312" w:hAnsi="仿宋_GB2312" w:eastAsia="仿宋_GB2312" w:cs="仿宋_GB2312"/>
          <w:szCs w:val="21"/>
        </w:rPr>
      </w:pPr>
    </w:p>
    <w:p>
      <w:pPr>
        <w:spacing w:line="480" w:lineRule="exact"/>
        <w:ind w:firstLine="420" w:firstLineChars="200"/>
        <w:jc w:val="left"/>
        <w:rPr>
          <w:rFonts w:hint="eastAsia" w:ascii="仿宋_GB2312" w:hAnsi="仿宋_GB2312" w:eastAsia="仿宋_GB2312" w:cs="仿宋_GB2312"/>
          <w:szCs w:val="21"/>
        </w:rPr>
      </w:pPr>
      <w:r>
        <w:rPr>
          <w:rFonts w:ascii="仿宋_GB2312" w:hAnsi="仿宋_GB2312" w:eastAsia="仿宋_GB2312" w:cs="仿宋_GB2312"/>
          <w:szCs w:val="21"/>
        </w:rPr>
        <w:t xml:space="preserve">               </w:t>
      </w:r>
      <w:r>
        <w:rPr>
          <w:rFonts w:hint="eastAsia" w:ascii="仿宋_GB2312" w:hAnsi="仿宋_GB2312" w:eastAsia="仿宋_GB2312" w:cs="仿宋_GB2312"/>
          <w:szCs w:val="21"/>
        </w:rPr>
        <w:t xml:space="preserve">                        </w:t>
      </w:r>
      <w:r>
        <w:rPr>
          <w:rFonts w:ascii="仿宋_GB2312" w:hAnsi="仿宋_GB2312" w:eastAsia="仿宋_GB2312" w:cs="仿宋_GB2312"/>
          <w:szCs w:val="21"/>
        </w:rPr>
        <w:t xml:space="preserve"> </w:t>
      </w:r>
      <w:r>
        <w:rPr>
          <w:rFonts w:hint="eastAsia" w:ascii="仿宋_GB2312" w:hAnsi="仿宋_GB2312" w:eastAsia="仿宋_GB2312" w:cs="仿宋_GB2312"/>
          <w:szCs w:val="21"/>
        </w:rPr>
        <w:t>比选申请人：</w:t>
      </w:r>
      <w:r>
        <w:rPr>
          <w:rFonts w:ascii="仿宋_GB2312" w:hAnsi="仿宋_GB2312" w:eastAsia="仿宋_GB2312" w:cs="仿宋_GB2312"/>
          <w:szCs w:val="21"/>
          <w:u w:val="single"/>
        </w:rPr>
        <w:t xml:space="preserve">       </w:t>
      </w:r>
      <w:r>
        <w:rPr>
          <w:rFonts w:hint="eastAsia" w:ascii="仿宋_GB2312" w:hAnsi="仿宋_GB2312" w:eastAsia="仿宋_GB2312" w:cs="仿宋_GB2312"/>
          <w:szCs w:val="21"/>
          <w:u w:val="single"/>
        </w:rPr>
        <w:t xml:space="preserve">（全称）      </w:t>
      </w:r>
      <w:r>
        <w:rPr>
          <w:rFonts w:ascii="仿宋_GB2312" w:hAnsi="仿宋_GB2312" w:eastAsia="仿宋_GB2312" w:cs="仿宋_GB2312"/>
          <w:szCs w:val="21"/>
          <w:u w:val="single"/>
        </w:rPr>
        <w:t xml:space="preserve">  </w:t>
      </w:r>
      <w:r>
        <w:rPr>
          <w:rFonts w:hint="eastAsia" w:ascii="仿宋_GB2312" w:hAnsi="仿宋_GB2312" w:eastAsia="仿宋_GB2312" w:cs="仿宋_GB2312"/>
          <w:szCs w:val="21"/>
        </w:rPr>
        <w:t>（盖章） </w:t>
      </w:r>
    </w:p>
    <w:p>
      <w:pPr>
        <w:spacing w:line="480" w:lineRule="exact"/>
        <w:ind w:firstLine="4620" w:firstLineChars="2200"/>
        <w:jc w:val="left"/>
        <w:rPr>
          <w:rFonts w:hint="eastAsia" w:ascii="仿宋_GB2312" w:hAnsi="仿宋_GB2312" w:eastAsia="仿宋_GB2312" w:cs="仿宋_GB2312"/>
          <w:b/>
          <w:bCs/>
          <w:szCs w:val="21"/>
        </w:rPr>
      </w:pPr>
      <w:r>
        <w:rPr>
          <w:rFonts w:hint="eastAsia" w:ascii="仿宋_GB2312" w:hAnsi="仿宋_GB2312" w:eastAsia="仿宋_GB2312" w:cs="仿宋_GB2312"/>
          <w:szCs w:val="21"/>
        </w:rPr>
        <w:t>法定代表人签字：</w:t>
      </w:r>
      <w:r>
        <w:rPr>
          <w:rFonts w:ascii="仿宋_GB2312" w:hAnsi="仿宋_GB2312" w:eastAsia="仿宋_GB2312" w:cs="仿宋_GB2312"/>
          <w:szCs w:val="21"/>
          <w:u w:val="single"/>
        </w:rPr>
        <w:t xml:space="preserve">         </w:t>
      </w:r>
      <w:r>
        <w:rPr>
          <w:rFonts w:hint="eastAsia" w:ascii="仿宋_GB2312" w:hAnsi="仿宋_GB2312" w:eastAsia="仿宋_GB2312" w:cs="仿宋_GB2312"/>
          <w:szCs w:val="21"/>
          <w:u w:val="single"/>
        </w:rPr>
        <w:t xml:space="preserve">  </w:t>
      </w:r>
      <w:r>
        <w:rPr>
          <w:rFonts w:ascii="仿宋_GB2312" w:hAnsi="仿宋_GB2312" w:eastAsia="仿宋_GB2312" w:cs="仿宋_GB2312"/>
          <w:szCs w:val="21"/>
          <w:u w:val="single"/>
        </w:rPr>
        <w:t xml:space="preserve">   </w:t>
      </w:r>
      <w:r>
        <w:rPr>
          <w:rFonts w:hint="eastAsia" w:ascii="仿宋_GB2312" w:hAnsi="仿宋_GB2312" w:eastAsia="仿宋_GB2312" w:cs="仿宋_GB2312"/>
          <w:b/>
          <w:bCs/>
          <w:szCs w:val="21"/>
        </w:rPr>
        <w:t>（亲笔签字）</w:t>
      </w:r>
    </w:p>
    <w:p>
      <w:pPr>
        <w:spacing w:line="480" w:lineRule="exact"/>
        <w:ind w:firstLine="6090" w:firstLineChars="2900"/>
        <w:jc w:val="left"/>
        <w:rPr>
          <w:rFonts w:hint="eastAsia" w:ascii="仿宋_GB2312" w:hAnsi="仿宋_GB2312" w:eastAsia="仿宋_GB2312" w:cs="仿宋_GB2312"/>
          <w:szCs w:val="21"/>
        </w:rPr>
      </w:pPr>
    </w:p>
    <w:p>
      <w:pPr>
        <w:spacing w:line="480" w:lineRule="exact"/>
        <w:ind w:firstLine="5460" w:firstLineChars="2600"/>
        <w:rPr>
          <w:rFonts w:hint="eastAsia" w:ascii="仿宋_GB2312" w:hAnsi="仿宋_GB2312" w:eastAsia="仿宋_GB2312" w:cs="仿宋_GB2312"/>
          <w:szCs w:val="21"/>
        </w:rPr>
      </w:pPr>
      <w:r>
        <w:rPr>
          <w:rFonts w:hint="eastAsia" w:ascii="仿宋_GB2312" w:hAnsi="仿宋_GB2312" w:eastAsia="仿宋_GB2312" w:cs="仿宋_GB2312"/>
          <w:szCs w:val="21"/>
        </w:rPr>
        <w:t>日期：</w:t>
      </w:r>
      <w:r>
        <w:rPr>
          <w:rFonts w:ascii="仿宋_GB2312" w:hAnsi="仿宋_GB2312" w:eastAsia="仿宋_GB2312" w:cs="仿宋_GB2312"/>
          <w:szCs w:val="21"/>
        </w:rPr>
        <w:t xml:space="preserve">   </w:t>
      </w:r>
      <w:r>
        <w:rPr>
          <w:rFonts w:hint="eastAsia" w:ascii="仿宋_GB2312" w:hAnsi="仿宋_GB2312" w:eastAsia="仿宋_GB2312" w:cs="仿宋_GB2312"/>
          <w:szCs w:val="21"/>
        </w:rPr>
        <w:t>年</w:t>
      </w:r>
      <w:r>
        <w:rPr>
          <w:rFonts w:ascii="仿宋_GB2312" w:hAnsi="仿宋_GB2312" w:eastAsia="仿宋_GB2312" w:cs="仿宋_GB2312"/>
          <w:szCs w:val="21"/>
        </w:rPr>
        <w:t xml:space="preserve">   </w:t>
      </w:r>
      <w:r>
        <w:rPr>
          <w:rFonts w:hint="eastAsia" w:ascii="仿宋_GB2312" w:hAnsi="仿宋_GB2312" w:eastAsia="仿宋_GB2312" w:cs="仿宋_GB2312"/>
          <w:szCs w:val="21"/>
        </w:rPr>
        <w:t>月</w:t>
      </w:r>
      <w:r>
        <w:rPr>
          <w:rFonts w:ascii="仿宋_GB2312" w:hAnsi="仿宋_GB2312" w:eastAsia="仿宋_GB2312" w:cs="仿宋_GB2312"/>
          <w:szCs w:val="21"/>
        </w:rPr>
        <w:t xml:space="preserve">   </w:t>
      </w:r>
      <w:r>
        <w:rPr>
          <w:rFonts w:hint="eastAsia" w:ascii="仿宋_GB2312" w:hAnsi="仿宋_GB2312" w:eastAsia="仿宋_GB2312" w:cs="仿宋_GB2312"/>
          <w:szCs w:val="21"/>
        </w:rPr>
        <w:t>日</w:t>
      </w:r>
    </w:p>
    <w:p>
      <w:pPr>
        <w:spacing w:line="360" w:lineRule="auto"/>
        <w:ind w:firstLine="315" w:firstLineChars="150"/>
        <w:jc w:val="left"/>
        <w:rPr>
          <w:rFonts w:hint="eastAsia" w:ascii="仿宋" w:hAnsi="仿宋" w:eastAsia="仿宋" w:cs="仿宋"/>
          <w:szCs w:val="21"/>
        </w:rPr>
      </w:pPr>
    </w:p>
    <w:p>
      <w:pPr>
        <w:spacing w:line="360" w:lineRule="auto"/>
        <w:ind w:firstLine="315" w:firstLineChars="150"/>
        <w:jc w:val="left"/>
        <w:rPr>
          <w:rFonts w:hint="eastAsia" w:ascii="仿宋" w:hAnsi="仿宋" w:eastAsia="仿宋" w:cs="仿宋"/>
          <w:szCs w:val="21"/>
        </w:rPr>
      </w:pPr>
    </w:p>
    <w:p>
      <w:pPr>
        <w:spacing w:line="360" w:lineRule="auto"/>
        <w:ind w:firstLine="315" w:firstLineChars="150"/>
        <w:jc w:val="left"/>
        <w:rPr>
          <w:rFonts w:hint="eastAsia" w:ascii="仿宋" w:hAnsi="仿宋" w:eastAsia="仿宋" w:cs="仿宋"/>
          <w:szCs w:val="21"/>
        </w:rPr>
      </w:pPr>
    </w:p>
    <w:p>
      <w:pPr>
        <w:spacing w:line="360" w:lineRule="auto"/>
        <w:ind w:firstLine="315" w:firstLineChars="150"/>
        <w:jc w:val="left"/>
        <w:rPr>
          <w:rFonts w:hint="eastAsia" w:ascii="仿宋_GB2312" w:hAnsi="仿宋_GB2312" w:eastAsia="仿宋_GB2312" w:cs="仿宋_GB2312"/>
          <w:szCs w:val="21"/>
        </w:rPr>
      </w:pPr>
      <w:r>
        <w:rPr>
          <w:rFonts w:hint="eastAsia" w:ascii="仿宋_GB2312" w:hAnsi="仿宋_GB2312" w:eastAsia="仿宋_GB2312" w:cs="仿宋_GB2312"/>
          <w:szCs w:val="21"/>
        </w:rPr>
        <w:t>注：</w:t>
      </w:r>
    </w:p>
    <w:p>
      <w:pPr>
        <w:spacing w:line="360" w:lineRule="auto"/>
        <w:ind w:firstLine="315" w:firstLineChars="150"/>
        <w:jc w:val="left"/>
        <w:rPr>
          <w:rFonts w:hint="eastAsia" w:ascii="仿宋_GB2312" w:hAnsi="仿宋_GB2312" w:eastAsia="仿宋_GB2312" w:cs="仿宋_GB2312"/>
          <w:b/>
          <w:szCs w:val="21"/>
        </w:rPr>
      </w:pPr>
      <w:r>
        <w:rPr>
          <w:rFonts w:hint="eastAsia" w:ascii="仿宋_GB2312" w:hAnsi="仿宋_GB2312" w:eastAsia="仿宋_GB2312" w:cs="仿宋_GB2312"/>
          <w:szCs w:val="21"/>
        </w:rPr>
        <w:t xml:space="preserve"> </w:t>
      </w:r>
      <w:r>
        <w:rPr>
          <w:rFonts w:hint="eastAsia" w:ascii="仿宋_GB2312" w:hAnsi="仿宋_GB2312" w:eastAsia="仿宋_GB2312" w:cs="仿宋_GB2312"/>
          <w:b/>
          <w:szCs w:val="21"/>
        </w:rPr>
        <w:t xml:space="preserve"> 1．法定代表人的签字必须是亲笔签名，不得使用印章、签名章或其他电子制版签名。</w:t>
      </w:r>
    </w:p>
    <w:p>
      <w:pPr>
        <w:spacing w:line="360" w:lineRule="auto"/>
        <w:ind w:firstLine="316" w:firstLineChars="150"/>
        <w:jc w:val="left"/>
        <w:rPr>
          <w:rFonts w:hint="eastAsia" w:ascii="仿宋_GB2312" w:hAnsi="仿宋_GB2312" w:eastAsia="仿宋_GB2312" w:cs="仿宋_GB2312"/>
          <w:b/>
          <w:szCs w:val="21"/>
        </w:rPr>
      </w:pPr>
      <w:r>
        <w:rPr>
          <w:rFonts w:hint="eastAsia" w:ascii="仿宋_GB2312" w:hAnsi="仿宋_GB2312" w:eastAsia="仿宋_GB2312" w:cs="仿宋_GB2312"/>
          <w:b/>
          <w:szCs w:val="21"/>
        </w:rPr>
        <w:t xml:space="preserve">  2．如果由法定代表人签署比选申请文件，仅提供本证明即可，但须附法定代表人身份证的影印件（彩色或黑白）。</w:t>
      </w:r>
    </w:p>
    <w:p>
      <w:pPr>
        <w:spacing w:line="480" w:lineRule="exact"/>
        <w:jc w:val="center"/>
        <w:outlineLvl w:val="3"/>
        <w:rPr>
          <w:rFonts w:hint="eastAsia" w:ascii="仿宋_GB2312" w:hAnsi="仿宋_GB2312" w:eastAsia="仿宋_GB2312" w:cs="仿宋_GB2312"/>
          <w:sz w:val="28"/>
          <w:szCs w:val="24"/>
        </w:rPr>
      </w:pPr>
      <w:r>
        <w:rPr>
          <w:rFonts w:hint="eastAsia" w:ascii="仿宋_GB2312" w:hAnsi="仿宋_GB2312" w:eastAsia="仿宋_GB2312" w:cs="仿宋_GB2312"/>
          <w:szCs w:val="21"/>
        </w:rPr>
        <w:br w:type="page"/>
      </w:r>
      <w:bookmarkStart w:id="79" w:name="_Toc455607505"/>
      <w:bookmarkStart w:id="80" w:name="_Toc456166142"/>
      <w:r>
        <w:rPr>
          <w:rFonts w:hint="eastAsia" w:ascii="仿宋_GB2312" w:hAnsi="仿宋_GB2312" w:eastAsia="仿宋_GB2312" w:cs="仿宋_GB2312"/>
          <w:b/>
          <w:bCs/>
          <w:sz w:val="28"/>
          <w:szCs w:val="24"/>
        </w:rPr>
        <w:t>（二）法人授权委托书格式</w:t>
      </w:r>
      <w:bookmarkEnd w:id="79"/>
      <w:bookmarkEnd w:id="80"/>
    </w:p>
    <w:p>
      <w:pPr>
        <w:spacing w:line="480" w:lineRule="exact"/>
        <w:jc w:val="center"/>
        <w:rPr>
          <w:rFonts w:hint="eastAsia" w:ascii="仿宋_GB2312" w:hAnsi="仿宋_GB2312" w:eastAsia="仿宋_GB2312" w:cs="仿宋_GB2312"/>
          <w:sz w:val="28"/>
          <w:szCs w:val="24"/>
        </w:rPr>
      </w:pPr>
    </w:p>
    <w:p>
      <w:pPr>
        <w:spacing w:line="480" w:lineRule="exact"/>
        <w:ind w:firstLine="420"/>
        <w:rPr>
          <w:rFonts w:hint="eastAsia" w:ascii="仿宋_GB2312" w:hAnsi="仿宋_GB2312" w:eastAsia="仿宋_GB2312" w:cs="仿宋_GB2312"/>
          <w:szCs w:val="21"/>
        </w:rPr>
      </w:pPr>
      <w:r>
        <w:rPr>
          <w:rFonts w:hint="eastAsia" w:ascii="仿宋_GB2312" w:hAnsi="仿宋_GB2312" w:eastAsia="仿宋_GB2312" w:cs="仿宋_GB2312"/>
          <w:szCs w:val="21"/>
        </w:rPr>
        <w:t>本人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（姓名）系</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（比选申请人名称）的法定代表人，现委托</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（姓名）为我方代理人。代理人根据授权，以我方名义签署、澄清、说明、补正、递交、撤回、修改我方所递交的</w:t>
      </w:r>
      <w:r>
        <w:rPr>
          <w:rFonts w:hint="eastAsia" w:ascii="仿宋_GB2312" w:hAnsi="仿宋_GB2312" w:eastAsia="仿宋_GB2312" w:cs="仿宋_GB2312"/>
          <w:u w:val="single"/>
        </w:rPr>
        <w:t xml:space="preserve">（项目名称）   </w:t>
      </w:r>
      <w:r>
        <w:rPr>
          <w:rFonts w:hint="eastAsia" w:ascii="仿宋_GB2312" w:hAnsi="仿宋_GB2312" w:eastAsia="仿宋_GB2312" w:cs="仿宋_GB2312"/>
          <w:szCs w:val="21"/>
        </w:rPr>
        <w:t>比选申请文件、签订合同和处理有关事宜，其法律后果由我方承担。</w:t>
      </w:r>
    </w:p>
    <w:p>
      <w:pPr>
        <w:spacing w:line="480" w:lineRule="exact"/>
        <w:ind w:firstLine="420"/>
        <w:rPr>
          <w:rFonts w:hint="eastAsia" w:ascii="仿宋_GB2312" w:hAnsi="仿宋_GB2312" w:eastAsia="仿宋_GB2312" w:cs="仿宋_GB2312"/>
          <w:szCs w:val="21"/>
        </w:rPr>
      </w:pPr>
      <w:r>
        <w:rPr>
          <w:rFonts w:hint="eastAsia" w:ascii="仿宋_GB2312" w:hAnsi="仿宋_GB2312" w:eastAsia="仿宋_GB2312" w:cs="仿宋_GB2312"/>
          <w:szCs w:val="21"/>
        </w:rPr>
        <w:t>委托期限：</w:t>
      </w:r>
      <w:r>
        <w:rPr>
          <w:rFonts w:hint="eastAsia" w:ascii="仿宋_GB2312" w:hAnsi="仿宋_GB2312" w:eastAsia="仿宋_GB2312" w:cs="仿宋_GB2312"/>
          <w:szCs w:val="21"/>
          <w:u w:val="single"/>
        </w:rPr>
        <w:t>本项目比选有效期内</w:t>
      </w:r>
      <w:r>
        <w:rPr>
          <w:rFonts w:hint="eastAsia" w:ascii="仿宋_GB2312" w:hAnsi="仿宋_GB2312" w:eastAsia="仿宋_GB2312" w:cs="仿宋_GB2312"/>
          <w:szCs w:val="21"/>
        </w:rPr>
        <w:t>。</w:t>
      </w:r>
    </w:p>
    <w:p>
      <w:pPr>
        <w:tabs>
          <w:tab w:val="left" w:pos="3855"/>
        </w:tabs>
        <w:spacing w:line="480" w:lineRule="exact"/>
        <w:rPr>
          <w:rFonts w:hint="eastAsia" w:ascii="仿宋_GB2312" w:hAnsi="仿宋_GB2312" w:eastAsia="仿宋_GB2312" w:cs="仿宋_GB2312"/>
          <w:szCs w:val="21"/>
        </w:rPr>
      </w:pPr>
      <w:r>
        <w:rPr>
          <w:rFonts w:hint="eastAsia" w:ascii="仿宋_GB2312" w:hAnsi="仿宋_GB2312" w:eastAsia="仿宋_GB2312" w:cs="仿宋_GB2312"/>
          <w:szCs w:val="21"/>
        </w:rPr>
        <w:t xml:space="preserve">    代理人无转委托权</w:t>
      </w:r>
    </w:p>
    <w:p>
      <w:pPr>
        <w:spacing w:line="480" w:lineRule="exact"/>
        <w:ind w:firstLine="420"/>
        <w:rPr>
          <w:rFonts w:hint="eastAsia" w:ascii="仿宋" w:hAnsi="仿宋" w:eastAsia="仿宋" w:cs="仿宋"/>
          <w:szCs w:val="21"/>
        </w:rPr>
      </w:pPr>
    </w:p>
    <w:p>
      <w:pPr>
        <w:spacing w:line="480" w:lineRule="exact"/>
        <w:rPr>
          <w:rFonts w:hint="eastAsia" w:ascii="仿宋" w:hAnsi="仿宋" w:eastAsia="仿宋" w:cs="仿宋"/>
          <w:szCs w:val="21"/>
        </w:rPr>
      </w:pPr>
    </w:p>
    <w:p>
      <w:pPr>
        <w:spacing w:line="480" w:lineRule="exact"/>
        <w:rPr>
          <w:rFonts w:hint="eastAsia" w:ascii="仿宋" w:hAnsi="仿宋" w:eastAsia="仿宋" w:cs="仿宋"/>
          <w:b/>
          <w:szCs w:val="21"/>
        </w:rPr>
      </w:pPr>
      <w:r>
        <w:rPr>
          <w:rFonts w:hint="eastAsia" w:ascii="仿宋" w:hAnsi="仿宋" w:eastAsia="仿宋" w:cs="仿宋"/>
          <w:b/>
          <w:szCs w:val="21"/>
        </w:rPr>
        <w:t>比选申请人：</w:t>
      </w:r>
      <w:r>
        <w:rPr>
          <w:rFonts w:hint="eastAsia" w:ascii="仿宋" w:hAnsi="仿宋" w:eastAsia="仿宋" w:cs="仿宋"/>
          <w:b/>
          <w:szCs w:val="21"/>
          <w:u w:val="single"/>
        </w:rPr>
        <w:t xml:space="preserve">                                  </w:t>
      </w:r>
      <w:r>
        <w:rPr>
          <w:rFonts w:hint="eastAsia" w:ascii="仿宋" w:hAnsi="仿宋" w:eastAsia="仿宋" w:cs="仿宋"/>
          <w:b/>
          <w:szCs w:val="21"/>
        </w:rPr>
        <w:t>（盖单位章）</w:t>
      </w:r>
    </w:p>
    <w:p>
      <w:pPr>
        <w:spacing w:line="480" w:lineRule="exact"/>
        <w:rPr>
          <w:rFonts w:hint="eastAsia" w:ascii="仿宋" w:hAnsi="仿宋" w:eastAsia="仿宋" w:cs="仿宋"/>
          <w:b/>
          <w:szCs w:val="21"/>
        </w:rPr>
      </w:pPr>
      <w:r>
        <w:rPr>
          <w:rFonts w:hint="eastAsia" w:ascii="仿宋" w:hAnsi="仿宋" w:eastAsia="仿宋" w:cs="仿宋"/>
          <w:b/>
          <w:szCs w:val="21"/>
        </w:rPr>
        <w:t>法定代表人：</w:t>
      </w:r>
      <w:r>
        <w:rPr>
          <w:rFonts w:hint="eastAsia" w:ascii="仿宋" w:hAnsi="仿宋" w:eastAsia="仿宋" w:cs="仿宋"/>
          <w:b/>
          <w:szCs w:val="21"/>
          <w:u w:val="single"/>
        </w:rPr>
        <w:t xml:space="preserve">                                </w:t>
      </w:r>
      <w:r>
        <w:rPr>
          <w:rFonts w:hint="eastAsia" w:ascii="仿宋" w:hAnsi="仿宋" w:eastAsia="仿宋" w:cs="仿宋"/>
          <w:b/>
          <w:szCs w:val="21"/>
        </w:rPr>
        <w:t>（</w:t>
      </w:r>
      <w:r>
        <w:rPr>
          <w:rFonts w:hint="eastAsia" w:ascii="仿宋" w:hAnsi="仿宋" w:eastAsia="仿宋" w:cs="仿宋"/>
          <w:b/>
          <w:szCs w:val="21"/>
          <w:lang w:val="en-US" w:eastAsia="zh-CN"/>
        </w:rPr>
        <w:t>亲笔</w:t>
      </w:r>
      <w:r>
        <w:rPr>
          <w:rFonts w:hint="eastAsia" w:ascii="仿宋" w:hAnsi="仿宋" w:eastAsia="仿宋" w:cs="仿宋"/>
          <w:b/>
          <w:szCs w:val="21"/>
        </w:rPr>
        <w:t>签字）</w:t>
      </w:r>
    </w:p>
    <w:p>
      <w:pPr>
        <w:spacing w:line="480" w:lineRule="exact"/>
        <w:rPr>
          <w:rFonts w:hint="eastAsia" w:ascii="仿宋" w:hAnsi="仿宋" w:eastAsia="仿宋" w:cs="仿宋"/>
          <w:szCs w:val="21"/>
        </w:rPr>
      </w:pPr>
      <w:r>
        <w:rPr>
          <w:rFonts w:hint="eastAsia" w:ascii="仿宋" w:hAnsi="仿宋" w:eastAsia="仿宋" w:cs="仿宋"/>
          <w:szCs w:val="21"/>
        </w:rPr>
        <w:t>身份证号码：</w:t>
      </w:r>
      <w:r>
        <w:rPr>
          <w:rFonts w:hint="eastAsia" w:ascii="仿宋" w:hAnsi="仿宋" w:eastAsia="仿宋" w:cs="仿宋"/>
          <w:szCs w:val="21"/>
          <w:u w:val="single"/>
        </w:rPr>
        <w:t xml:space="preserve">                                       </w:t>
      </w:r>
    </w:p>
    <w:p>
      <w:pPr>
        <w:spacing w:line="480" w:lineRule="exact"/>
        <w:rPr>
          <w:rFonts w:hint="eastAsia" w:ascii="仿宋" w:hAnsi="仿宋" w:eastAsia="仿宋" w:cs="仿宋"/>
          <w:b/>
          <w:szCs w:val="21"/>
        </w:rPr>
      </w:pPr>
      <w:r>
        <w:rPr>
          <w:rFonts w:hint="eastAsia" w:ascii="仿宋" w:hAnsi="仿宋" w:eastAsia="仿宋" w:cs="仿宋"/>
          <w:b/>
          <w:szCs w:val="21"/>
        </w:rPr>
        <w:t>委托代理人：</w:t>
      </w:r>
      <w:r>
        <w:rPr>
          <w:rFonts w:hint="eastAsia" w:ascii="仿宋" w:hAnsi="仿宋" w:eastAsia="仿宋" w:cs="仿宋"/>
          <w:b/>
          <w:szCs w:val="21"/>
          <w:u w:val="single"/>
        </w:rPr>
        <w:t xml:space="preserve">                                </w:t>
      </w:r>
      <w:r>
        <w:rPr>
          <w:rFonts w:hint="eastAsia" w:ascii="仿宋" w:hAnsi="仿宋" w:eastAsia="仿宋" w:cs="仿宋"/>
          <w:b/>
          <w:szCs w:val="21"/>
        </w:rPr>
        <w:t>（</w:t>
      </w:r>
      <w:r>
        <w:rPr>
          <w:rFonts w:hint="eastAsia" w:ascii="仿宋" w:hAnsi="仿宋" w:eastAsia="仿宋" w:cs="仿宋"/>
          <w:b/>
          <w:szCs w:val="21"/>
          <w:lang w:val="en-US" w:eastAsia="zh-CN"/>
        </w:rPr>
        <w:t>亲笔</w:t>
      </w:r>
      <w:r>
        <w:rPr>
          <w:rFonts w:hint="eastAsia" w:ascii="仿宋" w:hAnsi="仿宋" w:eastAsia="仿宋" w:cs="仿宋"/>
          <w:b/>
          <w:szCs w:val="21"/>
        </w:rPr>
        <w:t>签字）</w:t>
      </w:r>
    </w:p>
    <w:p>
      <w:pPr>
        <w:spacing w:line="480" w:lineRule="exact"/>
        <w:rPr>
          <w:rFonts w:hint="eastAsia" w:ascii="仿宋" w:hAnsi="仿宋" w:eastAsia="仿宋" w:cs="仿宋"/>
          <w:szCs w:val="21"/>
          <w:u w:val="single"/>
        </w:rPr>
      </w:pPr>
      <w:r>
        <w:rPr>
          <w:rFonts w:hint="eastAsia" w:ascii="仿宋" w:hAnsi="仿宋" w:eastAsia="仿宋" w:cs="仿宋"/>
          <w:szCs w:val="21"/>
        </w:rPr>
        <w:t>身份证号码：</w:t>
      </w:r>
      <w:r>
        <w:rPr>
          <w:rFonts w:hint="eastAsia" w:ascii="仿宋" w:hAnsi="仿宋" w:eastAsia="仿宋" w:cs="仿宋"/>
          <w:szCs w:val="21"/>
          <w:u w:val="single"/>
        </w:rPr>
        <w:t xml:space="preserve">                                       </w:t>
      </w:r>
    </w:p>
    <w:p>
      <w:pPr>
        <w:spacing w:line="480" w:lineRule="exact"/>
        <w:rPr>
          <w:rFonts w:hint="eastAsia" w:ascii="仿宋_GB2312" w:hAnsi="仿宋_GB2312" w:eastAsia="仿宋_GB2312" w:cs="仿宋_GB2312"/>
          <w:szCs w:val="20"/>
        </w:rPr>
      </w:pPr>
      <w:r>
        <w:rPr>
          <w:rFonts w:hint="eastAsia" w:ascii="仿宋_GB2312" w:hAnsi="仿宋_GB2312" w:eastAsia="仿宋_GB2312" w:cs="仿宋_GB2312"/>
          <w:szCs w:val="20"/>
        </w:rPr>
        <w:t>附：法定代表人身份证复印件及授权代理人身份证复印件</w:t>
      </w:r>
    </w:p>
    <w:p>
      <w:pPr>
        <w:spacing w:line="480" w:lineRule="exact"/>
        <w:rPr>
          <w:rFonts w:hint="eastAsia" w:ascii="仿宋_GB2312" w:hAnsi="仿宋_GB2312" w:eastAsia="仿宋_GB2312" w:cs="仿宋_GB2312"/>
          <w:sz w:val="28"/>
          <w:szCs w:val="24"/>
        </w:rPr>
      </w:pPr>
      <w:r>
        <w:rPr>
          <w:rFonts w:ascii="仿宋_GB2312" w:hAnsi="仿宋_GB2312" w:eastAsia="仿宋_GB2312" w:cs="仿宋_GB2312"/>
          <w:sz w:val="28"/>
          <w:szCs w:val="24"/>
        </w:rPr>
        <w:br w:type="textWrapping"/>
      </w:r>
    </w:p>
    <w:p>
      <w:pPr>
        <w:spacing w:line="480" w:lineRule="exact"/>
        <w:ind w:firstLine="5460" w:firstLineChars="2600"/>
        <w:rPr>
          <w:rFonts w:hint="eastAsia" w:ascii="仿宋_GB2312" w:hAnsi="仿宋_GB2312" w:eastAsia="仿宋_GB2312" w:cs="仿宋_GB2312"/>
          <w:szCs w:val="21"/>
        </w:rPr>
      </w:pPr>
      <w:r>
        <w:rPr>
          <w:rFonts w:hint="eastAsia" w:ascii="仿宋_GB2312" w:hAnsi="仿宋_GB2312" w:eastAsia="仿宋_GB2312" w:cs="仿宋_GB2312"/>
          <w:szCs w:val="21"/>
        </w:rPr>
        <w:t>日期：</w:t>
      </w:r>
      <w:r>
        <w:rPr>
          <w:rFonts w:ascii="仿宋_GB2312" w:hAnsi="仿宋_GB2312" w:eastAsia="仿宋_GB2312" w:cs="仿宋_GB2312"/>
          <w:szCs w:val="21"/>
        </w:rPr>
        <w:t xml:space="preserve">   </w:t>
      </w:r>
      <w:r>
        <w:rPr>
          <w:rFonts w:hint="eastAsia" w:ascii="仿宋_GB2312" w:hAnsi="仿宋_GB2312" w:eastAsia="仿宋_GB2312" w:cs="仿宋_GB2312"/>
          <w:szCs w:val="21"/>
        </w:rPr>
        <w:t>年</w:t>
      </w:r>
      <w:r>
        <w:rPr>
          <w:rFonts w:ascii="仿宋_GB2312" w:hAnsi="仿宋_GB2312" w:eastAsia="仿宋_GB2312" w:cs="仿宋_GB2312"/>
          <w:szCs w:val="21"/>
        </w:rPr>
        <w:t xml:space="preserve">   </w:t>
      </w:r>
      <w:r>
        <w:rPr>
          <w:rFonts w:hint="eastAsia" w:ascii="仿宋_GB2312" w:hAnsi="仿宋_GB2312" w:eastAsia="仿宋_GB2312" w:cs="仿宋_GB2312"/>
          <w:szCs w:val="21"/>
        </w:rPr>
        <w:t>月</w:t>
      </w:r>
      <w:r>
        <w:rPr>
          <w:rFonts w:ascii="仿宋_GB2312" w:hAnsi="仿宋_GB2312" w:eastAsia="仿宋_GB2312" w:cs="仿宋_GB2312"/>
          <w:szCs w:val="21"/>
        </w:rPr>
        <w:t xml:space="preserve">   </w:t>
      </w:r>
      <w:r>
        <w:rPr>
          <w:rFonts w:hint="eastAsia" w:ascii="仿宋_GB2312" w:hAnsi="仿宋_GB2312" w:eastAsia="仿宋_GB2312" w:cs="仿宋_GB2312"/>
          <w:szCs w:val="21"/>
        </w:rPr>
        <w:t>日</w:t>
      </w:r>
    </w:p>
    <w:p>
      <w:pPr>
        <w:spacing w:line="480" w:lineRule="exact"/>
        <w:ind w:firstLine="6720" w:firstLineChars="2400"/>
        <w:jc w:val="left"/>
        <w:rPr>
          <w:rFonts w:hint="eastAsia" w:ascii="仿宋_GB2312" w:hAnsi="仿宋_GB2312" w:eastAsia="仿宋_GB2312" w:cs="仿宋_GB2312"/>
          <w:sz w:val="28"/>
          <w:szCs w:val="24"/>
        </w:rPr>
      </w:pPr>
    </w:p>
    <w:p>
      <w:pPr>
        <w:spacing w:line="480" w:lineRule="exact"/>
        <w:ind w:firstLine="6720" w:firstLineChars="2400"/>
        <w:jc w:val="left"/>
        <w:rPr>
          <w:rFonts w:hint="eastAsia" w:ascii="仿宋_GB2312" w:hAnsi="仿宋_GB2312" w:eastAsia="仿宋_GB2312" w:cs="仿宋_GB2312"/>
          <w:sz w:val="28"/>
          <w:szCs w:val="24"/>
        </w:rPr>
      </w:pPr>
    </w:p>
    <w:p>
      <w:pPr>
        <w:spacing w:line="480" w:lineRule="exact"/>
        <w:ind w:firstLine="413" w:firstLineChars="196"/>
        <w:rPr>
          <w:rFonts w:hint="eastAsia" w:ascii="仿宋_GB2312" w:hAnsi="仿宋_GB2312" w:eastAsia="仿宋_GB2312" w:cs="仿宋_GB2312"/>
          <w:szCs w:val="21"/>
        </w:rPr>
      </w:pPr>
      <w:r>
        <w:rPr>
          <w:rFonts w:hint="eastAsia" w:ascii="仿宋_GB2312" w:hAnsi="仿宋_GB2312" w:eastAsia="仿宋_GB2312" w:cs="仿宋_GB2312"/>
          <w:b/>
          <w:szCs w:val="21"/>
        </w:rPr>
        <w:t>注：</w:t>
      </w:r>
      <w:r>
        <w:rPr>
          <w:rFonts w:hint="eastAsia" w:ascii="仿宋_GB2312" w:hAnsi="仿宋_GB2312" w:eastAsia="仿宋_GB2312" w:cs="仿宋_GB2312"/>
          <w:szCs w:val="21"/>
        </w:rPr>
        <w:t>1．法定代表人和委托代理人必须在授权书上亲笔签名，不得使用印章、签名章或其他电子制版签名代替；</w:t>
      </w:r>
    </w:p>
    <w:p>
      <w:pPr>
        <w:pStyle w:val="18"/>
        <w:spacing w:line="480" w:lineRule="exact"/>
        <w:ind w:firstLine="409" w:firstLineChars="195"/>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r>
        <w:rPr>
          <w:rFonts w:hint="eastAsia" w:ascii="仿宋_GB2312" w:hAnsi="仿宋_GB2312" w:eastAsia="仿宋_GB2312" w:cs="仿宋_GB2312"/>
          <w:kern w:val="2"/>
          <w:sz w:val="21"/>
          <w:szCs w:val="21"/>
        </w:rPr>
        <w:t>委托代理人只能是一个人且不能再授予他人，否则比选人将认为其授权无效；</w:t>
      </w:r>
    </w:p>
    <w:p>
      <w:pPr>
        <w:spacing w:line="480" w:lineRule="exact"/>
        <w:ind w:firstLine="411" w:firstLineChars="196"/>
        <w:rPr>
          <w:rFonts w:hint="eastAsia" w:ascii="仿宋_GB2312" w:hAnsi="仿宋_GB2312" w:eastAsia="仿宋_GB2312" w:cs="仿宋_GB2312"/>
          <w:szCs w:val="21"/>
        </w:rPr>
      </w:pPr>
      <w:r>
        <w:rPr>
          <w:rFonts w:hint="eastAsia" w:ascii="仿宋_GB2312" w:hAnsi="仿宋_GB2312" w:eastAsia="仿宋_GB2312" w:cs="仿宋_GB2312"/>
          <w:szCs w:val="21"/>
        </w:rPr>
        <w:t>3．授权委托书后须附法定代表人和委托代理人身份证影印件（彩色或黑白）。</w:t>
      </w:r>
    </w:p>
    <w:p>
      <w:pPr>
        <w:spacing w:line="480" w:lineRule="exact"/>
        <w:ind w:firstLine="411" w:firstLineChars="196"/>
        <w:rPr>
          <w:rFonts w:hint="eastAsia" w:ascii="仿宋" w:hAnsi="仿宋" w:eastAsia="仿宋" w:cs="仿宋"/>
          <w:szCs w:val="21"/>
        </w:rPr>
      </w:pPr>
      <w:r>
        <w:rPr>
          <w:rFonts w:hint="eastAsia" w:ascii="仿宋_GB2312" w:hAnsi="仿宋_GB2312" w:eastAsia="仿宋_GB2312" w:cs="仿宋_GB2312"/>
          <w:szCs w:val="21"/>
        </w:rPr>
        <w:t>4．如果由法定代表人签署比选申请文件，可不提供本授权委托书</w:t>
      </w:r>
      <w:r>
        <w:rPr>
          <w:rFonts w:hint="eastAsia" w:ascii="仿宋" w:hAnsi="仿宋" w:eastAsia="仿宋" w:cs="仿宋"/>
          <w:szCs w:val="21"/>
        </w:rPr>
        <w:t>。</w:t>
      </w:r>
    </w:p>
    <w:p>
      <w:pPr>
        <w:rPr>
          <w:rFonts w:hint="eastAsia" w:ascii="仿宋_GB2312" w:hAnsi="仿宋_GB2312" w:eastAsia="仿宋_GB2312" w:cs="仿宋_GB2312"/>
          <w:sz w:val="28"/>
          <w:szCs w:val="24"/>
        </w:rPr>
      </w:pPr>
    </w:p>
    <w:p>
      <w:pPr>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br w:type="page"/>
      </w:r>
    </w:p>
    <w:p>
      <w:pPr>
        <w:spacing w:line="600" w:lineRule="exact"/>
        <w:jc w:val="center"/>
        <w:outlineLvl w:val="2"/>
        <w:rPr>
          <w:rFonts w:hint="eastAsia" w:ascii="仿宋_GB2312" w:hAnsi="仿宋_GB2312" w:eastAsia="仿宋_GB2312" w:cs="仿宋_GB2312"/>
          <w:b/>
          <w:bCs/>
          <w:sz w:val="28"/>
          <w:szCs w:val="24"/>
        </w:rPr>
      </w:pPr>
      <w:r>
        <w:rPr>
          <w:rFonts w:hint="eastAsia" w:ascii="仿宋_GB2312" w:hAnsi="仿宋_GB2312" w:eastAsia="仿宋_GB2312" w:cs="仿宋_GB2312"/>
          <w:b/>
          <w:bCs/>
          <w:sz w:val="28"/>
          <w:szCs w:val="24"/>
        </w:rPr>
        <w:t>三、资格审查资料</w:t>
      </w:r>
    </w:p>
    <w:p>
      <w:pPr>
        <w:spacing w:line="480" w:lineRule="exact"/>
        <w:jc w:val="center"/>
        <w:outlineLvl w:val="3"/>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（一）比选申请人基本情况表</w:t>
      </w:r>
    </w:p>
    <w:p>
      <w:pPr>
        <w:rPr>
          <w:rFonts w:hint="eastAsia" w:ascii="仿宋_GB2312" w:hAnsi="仿宋_GB2312" w:eastAsia="仿宋_GB2312" w:cs="仿宋_GB2312"/>
          <w:sz w:val="28"/>
          <w:szCs w:val="24"/>
        </w:rPr>
      </w:pPr>
    </w:p>
    <w:tbl>
      <w:tblPr>
        <w:tblStyle w:val="31"/>
        <w:tblW w:w="91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51"/>
        <w:gridCol w:w="9"/>
        <w:gridCol w:w="3231"/>
        <w:gridCol w:w="1347"/>
        <w:gridCol w:w="23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4" w:hRule="exact"/>
          <w:jc w:val="center"/>
        </w:trPr>
        <w:tc>
          <w:tcPr>
            <w:tcW w:w="2251" w:type="dxa"/>
            <w:vAlign w:val="center"/>
          </w:tcPr>
          <w:p>
            <w:pPr>
              <w:numPr>
                <w:ilvl w:val="255"/>
                <w:numId w:val="0"/>
              </w:num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企业名称</w:t>
            </w:r>
          </w:p>
        </w:tc>
        <w:tc>
          <w:tcPr>
            <w:tcW w:w="6927" w:type="dxa"/>
            <w:gridSpan w:val="4"/>
            <w:vAlign w:val="center"/>
          </w:tcPr>
          <w:p>
            <w:pPr>
              <w:numPr>
                <w:ilvl w:val="255"/>
                <w:numId w:val="0"/>
              </w:numPr>
              <w:spacing w:line="600" w:lineRule="exact"/>
              <w:jc w:val="center"/>
              <w:rPr>
                <w:rFonts w:hint="eastAsia"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4" w:hRule="exact"/>
          <w:jc w:val="center"/>
        </w:trPr>
        <w:tc>
          <w:tcPr>
            <w:tcW w:w="2251" w:type="dxa"/>
            <w:vAlign w:val="center"/>
          </w:tcPr>
          <w:p>
            <w:pPr>
              <w:numPr>
                <w:ilvl w:val="255"/>
                <w:numId w:val="0"/>
              </w:num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p>
        </w:tc>
        <w:tc>
          <w:tcPr>
            <w:tcW w:w="6927" w:type="dxa"/>
            <w:gridSpan w:val="4"/>
            <w:vAlign w:val="center"/>
          </w:tcPr>
          <w:p>
            <w:pPr>
              <w:numPr>
                <w:ilvl w:val="255"/>
                <w:numId w:val="0"/>
              </w:numPr>
              <w:spacing w:line="600" w:lineRule="exact"/>
              <w:jc w:val="center"/>
              <w:rPr>
                <w:rFonts w:hint="eastAsia"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4" w:hRule="exact"/>
          <w:jc w:val="center"/>
        </w:trPr>
        <w:tc>
          <w:tcPr>
            <w:tcW w:w="2251" w:type="dxa"/>
            <w:vAlign w:val="center"/>
          </w:tcPr>
          <w:p>
            <w:pPr>
              <w:numPr>
                <w:ilvl w:val="255"/>
                <w:numId w:val="0"/>
              </w:num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tc>
        <w:tc>
          <w:tcPr>
            <w:tcW w:w="6927" w:type="dxa"/>
            <w:gridSpan w:val="4"/>
            <w:vAlign w:val="center"/>
          </w:tcPr>
          <w:p>
            <w:pPr>
              <w:numPr>
                <w:ilvl w:val="255"/>
                <w:numId w:val="0"/>
              </w:numPr>
              <w:spacing w:line="600" w:lineRule="exact"/>
              <w:jc w:val="center"/>
              <w:rPr>
                <w:rFonts w:hint="eastAsia"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4" w:hRule="exact"/>
          <w:jc w:val="center"/>
        </w:trPr>
        <w:tc>
          <w:tcPr>
            <w:tcW w:w="2251" w:type="dxa"/>
            <w:vAlign w:val="center"/>
          </w:tcPr>
          <w:p>
            <w:pPr>
              <w:numPr>
                <w:ilvl w:val="255"/>
                <w:numId w:val="0"/>
              </w:num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企业类型</w:t>
            </w:r>
          </w:p>
        </w:tc>
        <w:tc>
          <w:tcPr>
            <w:tcW w:w="6927" w:type="dxa"/>
            <w:gridSpan w:val="4"/>
            <w:vAlign w:val="center"/>
          </w:tcPr>
          <w:p>
            <w:pPr>
              <w:numPr>
                <w:ilvl w:val="255"/>
                <w:numId w:val="0"/>
              </w:numPr>
              <w:spacing w:line="600" w:lineRule="exact"/>
              <w:jc w:val="center"/>
              <w:rPr>
                <w:rFonts w:hint="eastAsia"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4" w:hRule="exact"/>
          <w:jc w:val="center"/>
        </w:trPr>
        <w:tc>
          <w:tcPr>
            <w:tcW w:w="2251" w:type="dxa"/>
            <w:vAlign w:val="center"/>
          </w:tcPr>
          <w:p>
            <w:pPr>
              <w:numPr>
                <w:ilvl w:val="255"/>
                <w:numId w:val="0"/>
              </w:num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经营范围</w:t>
            </w:r>
          </w:p>
        </w:tc>
        <w:tc>
          <w:tcPr>
            <w:tcW w:w="6927" w:type="dxa"/>
            <w:gridSpan w:val="4"/>
            <w:vAlign w:val="center"/>
          </w:tcPr>
          <w:p>
            <w:pPr>
              <w:numPr>
                <w:ilvl w:val="255"/>
                <w:numId w:val="0"/>
              </w:numPr>
              <w:spacing w:line="600" w:lineRule="exact"/>
              <w:jc w:val="center"/>
              <w:rPr>
                <w:rFonts w:hint="eastAsia"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4" w:hRule="exact"/>
          <w:jc w:val="center"/>
        </w:trPr>
        <w:tc>
          <w:tcPr>
            <w:tcW w:w="2260" w:type="dxa"/>
            <w:gridSpan w:val="2"/>
            <w:vAlign w:val="center"/>
          </w:tcPr>
          <w:p>
            <w:pPr>
              <w:numPr>
                <w:ilvl w:val="255"/>
                <w:numId w:val="0"/>
              </w:num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营业执照号</w:t>
            </w:r>
          </w:p>
        </w:tc>
        <w:tc>
          <w:tcPr>
            <w:tcW w:w="3231" w:type="dxa"/>
            <w:vAlign w:val="center"/>
          </w:tcPr>
          <w:p>
            <w:pPr>
              <w:numPr>
                <w:ilvl w:val="255"/>
                <w:numId w:val="0"/>
              </w:numPr>
              <w:spacing w:line="600" w:lineRule="exact"/>
              <w:jc w:val="center"/>
              <w:rPr>
                <w:rFonts w:hint="eastAsia" w:ascii="仿宋_GB2312" w:hAnsi="仿宋_GB2312" w:eastAsia="仿宋_GB2312" w:cs="仿宋_GB2312"/>
                <w:sz w:val="24"/>
                <w:szCs w:val="24"/>
              </w:rPr>
            </w:pPr>
          </w:p>
        </w:tc>
        <w:tc>
          <w:tcPr>
            <w:tcW w:w="1347" w:type="dxa"/>
            <w:vAlign w:val="center"/>
          </w:tcPr>
          <w:p>
            <w:pPr>
              <w:numPr>
                <w:ilvl w:val="255"/>
                <w:numId w:val="0"/>
              </w:num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邮政编码</w:t>
            </w:r>
          </w:p>
        </w:tc>
        <w:tc>
          <w:tcPr>
            <w:tcW w:w="2340" w:type="dxa"/>
            <w:vAlign w:val="center"/>
          </w:tcPr>
          <w:p>
            <w:pPr>
              <w:numPr>
                <w:ilvl w:val="255"/>
                <w:numId w:val="0"/>
              </w:numPr>
              <w:spacing w:line="600" w:lineRule="exact"/>
              <w:jc w:val="center"/>
              <w:rPr>
                <w:rFonts w:hint="eastAsia"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4" w:hRule="exact"/>
          <w:jc w:val="center"/>
        </w:trPr>
        <w:tc>
          <w:tcPr>
            <w:tcW w:w="2260" w:type="dxa"/>
            <w:gridSpan w:val="2"/>
            <w:vAlign w:val="center"/>
          </w:tcPr>
          <w:p>
            <w:pPr>
              <w:numPr>
                <w:ilvl w:val="255"/>
                <w:numId w:val="0"/>
              </w:num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营业期限</w:t>
            </w:r>
          </w:p>
        </w:tc>
        <w:tc>
          <w:tcPr>
            <w:tcW w:w="6918" w:type="dxa"/>
            <w:gridSpan w:val="3"/>
            <w:vAlign w:val="center"/>
          </w:tcPr>
          <w:p>
            <w:pPr>
              <w:numPr>
                <w:ilvl w:val="255"/>
                <w:numId w:val="0"/>
              </w:numPr>
              <w:spacing w:line="600" w:lineRule="exact"/>
              <w:jc w:val="center"/>
              <w:rPr>
                <w:rFonts w:hint="eastAsia"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14" w:hRule="exact"/>
          <w:jc w:val="center"/>
        </w:trPr>
        <w:tc>
          <w:tcPr>
            <w:tcW w:w="2260" w:type="dxa"/>
            <w:gridSpan w:val="2"/>
            <w:vAlign w:val="center"/>
          </w:tcPr>
          <w:p>
            <w:pPr>
              <w:pStyle w:val="5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_GB2312" w:hAnsi="仿宋_GB2312" w:eastAsia="仿宋_GB2312" w:cs="仿宋_GB2312"/>
                <w:sz w:val="24"/>
                <w:szCs w:val="24"/>
              </w:rPr>
            </w:pPr>
            <w:r>
              <w:rPr>
                <w:rFonts w:hint="eastAsia" w:ascii="宋体" w:hAnsi="宋体" w:eastAsia="宋体" w:cs="宋体"/>
                <w:spacing w:val="-4"/>
                <w:lang w:eastAsia="zh-CN"/>
              </w:rPr>
              <w:t>比选申请</w:t>
            </w:r>
            <w:r>
              <w:rPr>
                <w:rFonts w:hint="eastAsia" w:ascii="宋体" w:hAnsi="宋体" w:eastAsia="宋体" w:cs="宋体"/>
                <w:spacing w:val="-4"/>
              </w:rPr>
              <w:t>人关联企业</w:t>
            </w:r>
            <w:r>
              <w:rPr>
                <w:rFonts w:hint="eastAsia" w:ascii="宋体" w:hAnsi="宋体" w:eastAsia="宋体" w:cs="宋体"/>
                <w:spacing w:val="-5"/>
              </w:rPr>
              <w:t>情况</w:t>
            </w:r>
          </w:p>
        </w:tc>
        <w:tc>
          <w:tcPr>
            <w:tcW w:w="6918" w:type="dxa"/>
            <w:gridSpan w:val="3"/>
            <w:vAlign w:val="center"/>
          </w:tcPr>
          <w:p>
            <w:pPr>
              <w:pStyle w:val="50"/>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lang w:eastAsia="zh-CN"/>
              </w:rPr>
            </w:pPr>
            <w:r>
              <w:rPr>
                <w:rFonts w:hint="eastAsia" w:ascii="宋体" w:hAnsi="宋体" w:eastAsia="宋体" w:cs="宋体"/>
                <w:spacing w:val="-4"/>
                <w:lang w:eastAsia="zh-CN"/>
              </w:rPr>
              <w:t>比选申请</w:t>
            </w:r>
            <w:r>
              <w:rPr>
                <w:rFonts w:hint="eastAsia" w:ascii="宋体" w:hAnsi="宋体" w:eastAsia="宋体" w:cs="宋体"/>
                <w:lang w:eastAsia="zh-CN"/>
              </w:rPr>
              <w:t>人应提供关联企业情况，包括：</w:t>
            </w:r>
          </w:p>
          <w:p>
            <w:pPr>
              <w:pStyle w:val="50"/>
              <w:keepNext w:val="0"/>
              <w:keepLines w:val="0"/>
              <w:pageBreakBefore w:val="0"/>
              <w:widowControl w:val="0"/>
              <w:kinsoku/>
              <w:wordWrap/>
              <w:overflowPunct/>
              <w:topLinePunct w:val="0"/>
              <w:autoSpaceDE/>
              <w:autoSpaceDN/>
              <w:bidi w:val="0"/>
              <w:adjustRightInd/>
              <w:snapToGrid/>
              <w:spacing w:line="240" w:lineRule="auto"/>
              <w:ind w:right="9" w:firstLine="0" w:firstLineChars="0"/>
              <w:textAlignment w:val="auto"/>
              <w:rPr>
                <w:rFonts w:hint="eastAsia" w:ascii="宋体" w:hAnsi="宋体" w:eastAsia="宋体" w:cs="宋体"/>
                <w:lang w:eastAsia="zh-CN"/>
              </w:rPr>
            </w:pPr>
            <w:r>
              <w:rPr>
                <w:rFonts w:hint="eastAsia" w:ascii="宋体" w:hAnsi="宋体" w:eastAsia="宋体" w:cs="宋体"/>
                <w:lang w:eastAsia="zh-CN"/>
              </w:rPr>
              <w:t>（1）</w:t>
            </w:r>
            <w:r>
              <w:rPr>
                <w:rFonts w:hint="eastAsia" w:ascii="宋体" w:hAnsi="宋体" w:eastAsia="宋体" w:cs="宋体"/>
                <w:spacing w:val="-4"/>
                <w:lang w:eastAsia="zh-CN"/>
              </w:rPr>
              <w:t>比选申请</w:t>
            </w:r>
            <w:r>
              <w:rPr>
                <w:rFonts w:hint="eastAsia" w:ascii="宋体" w:hAnsi="宋体" w:eastAsia="宋体" w:cs="宋体"/>
                <w:lang w:eastAsia="zh-CN"/>
              </w:rPr>
              <w:t>的所有股东名称及相应股权（出资额）比例：如</w:t>
            </w:r>
            <w:r>
              <w:rPr>
                <w:rFonts w:hint="eastAsia" w:ascii="宋体" w:hAnsi="宋体" w:eastAsia="宋体" w:cs="宋体"/>
                <w:spacing w:val="-4"/>
                <w:lang w:eastAsia="zh-CN"/>
              </w:rPr>
              <w:t>比选申请</w:t>
            </w:r>
            <w:r>
              <w:rPr>
                <w:rFonts w:hint="eastAsia" w:ascii="宋体" w:hAnsi="宋体" w:eastAsia="宋体" w:cs="宋体"/>
                <w:lang w:eastAsia="zh-CN"/>
              </w:rPr>
              <w:t>人为上市</w:t>
            </w:r>
            <w:r>
              <w:rPr>
                <w:rFonts w:hint="eastAsia" w:ascii="宋体" w:hAnsi="宋体" w:eastAsia="宋体" w:cs="宋体"/>
                <w:spacing w:val="7"/>
                <w:lang w:eastAsia="zh-CN"/>
              </w:rPr>
              <w:t>公司，</w:t>
            </w:r>
            <w:r>
              <w:rPr>
                <w:rFonts w:hint="eastAsia" w:ascii="宋体" w:hAnsi="宋体" w:eastAsia="宋体" w:cs="宋体"/>
                <w:spacing w:val="-4"/>
                <w:lang w:eastAsia="zh-CN"/>
              </w:rPr>
              <w:t>比选申请</w:t>
            </w:r>
            <w:r>
              <w:rPr>
                <w:rFonts w:hint="eastAsia" w:ascii="宋体" w:hAnsi="宋体" w:eastAsia="宋体" w:cs="宋体"/>
                <w:spacing w:val="7"/>
                <w:lang w:eastAsia="zh-CN"/>
              </w:rPr>
              <w:t>人应提供股权占公司股份总数</w:t>
            </w:r>
            <w:r>
              <w:rPr>
                <w:rFonts w:hint="eastAsia" w:ascii="宋体" w:hAnsi="宋体" w:eastAsia="宋体" w:cs="宋体"/>
                <w:spacing w:val="7"/>
                <w:u w:val="single"/>
                <w:lang w:eastAsia="zh-CN"/>
              </w:rPr>
              <w:t>50</w:t>
            </w:r>
            <w:r>
              <w:rPr>
                <w:rFonts w:hint="eastAsia" w:ascii="宋体" w:hAnsi="宋体" w:eastAsia="宋体" w:cs="宋体"/>
                <w:spacing w:val="7"/>
                <w:lang w:eastAsia="zh-CN"/>
              </w:rPr>
              <w:t>%以上的所有股东名称及相</w:t>
            </w:r>
            <w:r>
              <w:rPr>
                <w:rFonts w:hint="eastAsia" w:ascii="宋体" w:hAnsi="宋体" w:eastAsia="宋体" w:cs="宋体"/>
                <w:spacing w:val="1"/>
                <w:lang w:eastAsia="zh-CN"/>
              </w:rPr>
              <w:t>应股权比例；</w:t>
            </w:r>
          </w:p>
          <w:p>
            <w:pPr>
              <w:pStyle w:val="50"/>
              <w:keepNext w:val="0"/>
              <w:keepLines w:val="0"/>
              <w:pageBreakBefore w:val="0"/>
              <w:widowControl w:val="0"/>
              <w:kinsoku/>
              <w:wordWrap/>
              <w:overflowPunct/>
              <w:topLinePunct w:val="0"/>
              <w:autoSpaceDE/>
              <w:autoSpaceDN/>
              <w:bidi w:val="0"/>
              <w:adjustRightInd/>
              <w:snapToGrid/>
              <w:spacing w:line="240" w:lineRule="auto"/>
              <w:ind w:right="9" w:firstLine="0" w:firstLineChars="0"/>
              <w:textAlignment w:val="auto"/>
              <w:rPr>
                <w:rFonts w:hint="eastAsia" w:ascii="宋体" w:hAnsi="宋体" w:eastAsia="宋体" w:cs="宋体"/>
                <w:lang w:eastAsia="zh-CN"/>
              </w:rPr>
            </w:pPr>
            <w:r>
              <w:rPr>
                <w:rFonts w:hint="eastAsia" w:ascii="宋体" w:hAnsi="宋体" w:eastAsia="宋体" w:cs="宋体"/>
                <w:lang w:eastAsia="zh-CN"/>
              </w:rPr>
              <w:t>（2）比选申请人投资（控股）或管理的下属企业名称、持有股权（出资额）比例；</w:t>
            </w:r>
          </w:p>
          <w:p>
            <w:pPr>
              <w:pStyle w:val="50"/>
              <w:keepNext w:val="0"/>
              <w:keepLines w:val="0"/>
              <w:pageBreakBefore w:val="0"/>
              <w:widowControl w:val="0"/>
              <w:kinsoku/>
              <w:wordWrap/>
              <w:overflowPunct/>
              <w:topLinePunct w:val="0"/>
              <w:autoSpaceDE/>
              <w:autoSpaceDN/>
              <w:bidi w:val="0"/>
              <w:adjustRightInd/>
              <w:snapToGrid/>
              <w:spacing w:line="240" w:lineRule="auto"/>
              <w:ind w:right="9" w:rightChars="0" w:firstLine="0" w:firstLineChars="0"/>
              <w:textAlignment w:val="auto"/>
              <w:rPr>
                <w:rFonts w:hint="eastAsia" w:ascii="仿宋_GB2312" w:hAnsi="仿宋_GB2312" w:eastAsia="仿宋_GB2312" w:cs="仿宋_GB2312"/>
                <w:sz w:val="24"/>
                <w:szCs w:val="24"/>
              </w:rPr>
            </w:pPr>
            <w:r>
              <w:rPr>
                <w:rFonts w:hint="eastAsia" w:ascii="宋体" w:hAnsi="宋体" w:eastAsia="宋体" w:cs="宋体"/>
                <w:lang w:eastAsia="zh-CN"/>
              </w:rPr>
              <w:t>（3）与比选申请人单位负责人（即法定代表人）为同一人的其他单位名称。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4" w:hRule="exact"/>
          <w:jc w:val="center"/>
        </w:trPr>
        <w:tc>
          <w:tcPr>
            <w:tcW w:w="2260" w:type="dxa"/>
            <w:gridSpan w:val="2"/>
            <w:vAlign w:val="center"/>
          </w:tcPr>
          <w:p>
            <w:pPr>
              <w:pStyle w:val="5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rPr>
            </w:pPr>
            <w:r>
              <w:rPr>
                <w:rFonts w:hint="eastAsia" w:ascii="宋体" w:hAnsi="宋体" w:eastAsia="宋体" w:cs="宋体"/>
                <w:spacing w:val="-3"/>
              </w:rPr>
              <w:t>备注</w:t>
            </w:r>
          </w:p>
        </w:tc>
        <w:tc>
          <w:tcPr>
            <w:tcW w:w="691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_GB2312" w:hAnsi="仿宋_GB2312" w:eastAsia="仿宋_GB2312" w:cs="仿宋_GB2312"/>
                <w:sz w:val="24"/>
                <w:szCs w:val="24"/>
              </w:rPr>
            </w:pPr>
          </w:p>
        </w:tc>
      </w:tr>
    </w:tbl>
    <w:p>
      <w:pPr>
        <w:numPr>
          <w:ilvl w:val="255"/>
          <w:numId w:val="0"/>
        </w:numPr>
        <w:rPr>
          <w:rFonts w:hint="eastAsia" w:ascii="仿宋_GB2312" w:hAnsi="仿宋_GB2312" w:eastAsia="仿宋_GB2312" w:cs="仿宋_GB2312"/>
          <w:szCs w:val="21"/>
        </w:rPr>
      </w:pPr>
    </w:p>
    <w:p>
      <w:pPr>
        <w:numPr>
          <w:ilvl w:val="255"/>
          <w:numId w:val="0"/>
        </w:numPr>
        <w:spacing w:line="480" w:lineRule="exact"/>
        <w:rPr>
          <w:rFonts w:hint="eastAsia" w:ascii="仿宋_GB2312" w:hAnsi="仿宋_GB2312" w:eastAsia="仿宋_GB2312" w:cs="仿宋_GB2312"/>
          <w:szCs w:val="21"/>
        </w:rPr>
      </w:pPr>
      <w:r>
        <w:rPr>
          <w:rFonts w:hint="eastAsia" w:ascii="仿宋_GB2312" w:hAnsi="仿宋_GB2312" w:eastAsia="仿宋_GB2312" w:cs="仿宋_GB2312"/>
          <w:szCs w:val="21"/>
        </w:rPr>
        <w:t>注：本表后应附企业营业执照副本、基本账户开户许可证或基本账户信息证明材料，其他比选申请人认为与本项目相关的资料影印件并加盖比选申请人鲜章，原件备查。</w:t>
      </w:r>
    </w:p>
    <w:p>
      <w:pPr>
        <w:spacing w:line="480" w:lineRule="exact"/>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 xml:space="preserve">                                       </w:t>
      </w:r>
    </w:p>
    <w:p>
      <w:pPr>
        <w:spacing w:line="480" w:lineRule="exact"/>
        <w:jc w:val="right"/>
        <w:rPr>
          <w:rFonts w:hint="eastAsia" w:ascii="仿宋_GB2312" w:hAnsi="仿宋_GB2312" w:eastAsia="仿宋_GB2312" w:cs="仿宋_GB2312"/>
          <w:szCs w:val="21"/>
        </w:rPr>
      </w:pPr>
      <w:r>
        <w:rPr>
          <w:rFonts w:hint="eastAsia" w:ascii="仿宋_GB2312" w:hAnsi="仿宋_GB2312" w:eastAsia="仿宋_GB2312" w:cs="仿宋_GB2312"/>
          <w:szCs w:val="21"/>
        </w:rPr>
        <w:t>比选申请人：</w:t>
      </w:r>
      <w:r>
        <w:rPr>
          <w:rFonts w:ascii="仿宋_GB2312" w:hAnsi="仿宋_GB2312" w:eastAsia="仿宋_GB2312" w:cs="仿宋_GB2312"/>
          <w:szCs w:val="21"/>
          <w:u w:val="single"/>
        </w:rPr>
        <w:t xml:space="preserve">       </w:t>
      </w:r>
      <w:r>
        <w:rPr>
          <w:rFonts w:hint="eastAsia" w:ascii="仿宋_GB2312" w:hAnsi="仿宋_GB2312" w:eastAsia="仿宋_GB2312" w:cs="仿宋_GB2312"/>
          <w:szCs w:val="21"/>
          <w:u w:val="single"/>
        </w:rPr>
        <w:t xml:space="preserve">（全称）      </w:t>
      </w:r>
      <w:r>
        <w:rPr>
          <w:rFonts w:ascii="仿宋_GB2312" w:hAnsi="仿宋_GB2312" w:eastAsia="仿宋_GB2312" w:cs="仿宋_GB2312"/>
          <w:szCs w:val="21"/>
          <w:u w:val="single"/>
        </w:rPr>
        <w:t xml:space="preserve">  </w:t>
      </w:r>
      <w:r>
        <w:rPr>
          <w:rFonts w:hint="eastAsia" w:ascii="仿宋_GB2312" w:hAnsi="仿宋_GB2312" w:eastAsia="仿宋_GB2312" w:cs="仿宋_GB2312"/>
          <w:szCs w:val="21"/>
        </w:rPr>
        <w:t>（盖章） </w:t>
      </w:r>
    </w:p>
    <w:p>
      <w:pPr>
        <w:spacing w:line="480" w:lineRule="exact"/>
        <w:ind w:firstLine="6090" w:firstLineChars="2900"/>
        <w:jc w:val="right"/>
        <w:rPr>
          <w:rFonts w:hint="eastAsia" w:ascii="仿宋_GB2312" w:hAnsi="仿宋_GB2312" w:eastAsia="仿宋_GB2312" w:cs="仿宋_GB2312"/>
          <w:szCs w:val="21"/>
        </w:rPr>
      </w:pPr>
    </w:p>
    <w:p>
      <w:pPr>
        <w:wordWrap w:val="0"/>
        <w:spacing w:line="480" w:lineRule="exact"/>
        <w:jc w:val="right"/>
        <w:rPr>
          <w:rFonts w:hint="eastAsia" w:ascii="仿宋_GB2312" w:hAnsi="仿宋_GB2312" w:eastAsia="仿宋_GB2312" w:cs="仿宋_GB2312"/>
          <w:szCs w:val="21"/>
        </w:rPr>
      </w:pPr>
      <w:r>
        <w:rPr>
          <w:rFonts w:hint="eastAsia" w:ascii="仿宋_GB2312" w:hAnsi="仿宋_GB2312" w:eastAsia="仿宋_GB2312" w:cs="仿宋_GB2312"/>
          <w:szCs w:val="21"/>
        </w:rPr>
        <w:t>日期：</w:t>
      </w:r>
      <w:r>
        <w:rPr>
          <w:rFonts w:ascii="仿宋_GB2312" w:hAnsi="仿宋_GB2312" w:eastAsia="仿宋_GB2312" w:cs="仿宋_GB2312"/>
          <w:szCs w:val="21"/>
        </w:rPr>
        <w:t xml:space="preserve">   </w:t>
      </w:r>
      <w:r>
        <w:rPr>
          <w:rFonts w:hint="eastAsia" w:ascii="仿宋_GB2312" w:hAnsi="仿宋_GB2312" w:eastAsia="仿宋_GB2312" w:cs="仿宋_GB2312"/>
          <w:szCs w:val="21"/>
        </w:rPr>
        <w:t>年</w:t>
      </w:r>
      <w:r>
        <w:rPr>
          <w:rFonts w:ascii="仿宋_GB2312" w:hAnsi="仿宋_GB2312" w:eastAsia="仿宋_GB2312" w:cs="仿宋_GB2312"/>
          <w:szCs w:val="21"/>
        </w:rPr>
        <w:t xml:space="preserve">   </w:t>
      </w:r>
      <w:r>
        <w:rPr>
          <w:rFonts w:hint="eastAsia" w:ascii="仿宋_GB2312" w:hAnsi="仿宋_GB2312" w:eastAsia="仿宋_GB2312" w:cs="仿宋_GB2312"/>
          <w:szCs w:val="21"/>
        </w:rPr>
        <w:t>月</w:t>
      </w:r>
      <w:r>
        <w:rPr>
          <w:rFonts w:ascii="仿宋_GB2312" w:hAnsi="仿宋_GB2312" w:eastAsia="仿宋_GB2312" w:cs="仿宋_GB2312"/>
          <w:szCs w:val="21"/>
        </w:rPr>
        <w:t xml:space="preserve">   </w:t>
      </w:r>
      <w:r>
        <w:rPr>
          <w:rFonts w:hint="eastAsia" w:ascii="仿宋_GB2312" w:hAnsi="仿宋_GB2312" w:eastAsia="仿宋_GB2312" w:cs="仿宋_GB2312"/>
          <w:szCs w:val="21"/>
        </w:rPr>
        <w:t xml:space="preserve">日    </w:t>
      </w:r>
    </w:p>
    <w:p>
      <w:pPr>
        <w:numPr>
          <w:ilvl w:val="255"/>
          <w:numId w:val="0"/>
        </w:numPr>
        <w:spacing w:before="72" w:line="600" w:lineRule="exact"/>
        <w:ind w:right="512"/>
        <w:jc w:val="right"/>
        <w:rPr>
          <w:rFonts w:hint="eastAsia" w:ascii="仿宋_GB2312" w:hAnsi="仿宋_GB2312" w:eastAsia="仿宋_GB2312" w:cs="仿宋_GB2312"/>
          <w:szCs w:val="21"/>
        </w:rPr>
      </w:pPr>
    </w:p>
    <w:p>
      <w:pP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pPr>
        <w:tabs>
          <w:tab w:val="left" w:pos="360"/>
        </w:tabs>
        <w:jc w:val="center"/>
        <w:outlineLvl w:val="3"/>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（二）近3年（自2022年1月1日起）类似业绩情况表</w:t>
      </w:r>
    </w:p>
    <w:p>
      <w:pPr>
        <w:rPr>
          <w:rFonts w:hint="eastAsia" w:ascii="仿宋_GB2312" w:hAnsi="仿宋_GB2312" w:eastAsia="仿宋_GB2312" w:cs="仿宋_GB2312"/>
          <w:sz w:val="28"/>
          <w:szCs w:val="24"/>
        </w:rPr>
      </w:pPr>
    </w:p>
    <w:tbl>
      <w:tblPr>
        <w:tblStyle w:val="31"/>
        <w:tblpPr w:leftFromText="180" w:rightFromText="180" w:vertAnchor="text" w:horzAnchor="page" w:tblpX="1467" w:tblpY="120"/>
        <w:tblOverlap w:val="never"/>
        <w:tblW w:w="92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1"/>
        <w:gridCol w:w="1044"/>
        <w:gridCol w:w="1441"/>
        <w:gridCol w:w="974"/>
        <w:gridCol w:w="974"/>
        <w:gridCol w:w="1315"/>
        <w:gridCol w:w="1052"/>
        <w:gridCol w:w="1052"/>
        <w:gridCol w:w="10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trPr>
        <w:tc>
          <w:tcPr>
            <w:tcW w:w="391" w:type="dxa"/>
            <w:vAlign w:val="center"/>
          </w:tcPr>
          <w:p>
            <w:pPr>
              <w:pStyle w:val="41"/>
              <w:framePr w:hSpace="0" w:wrap="auto" w:vAnchor="margin" w:hAnchor="text" w:xAlign="left" w:yAlign="inline"/>
              <w:jc w:val="center"/>
              <w:rPr>
                <w:rFonts w:hint="eastAsia" w:ascii="仿宋_GB2312" w:hAnsi="仿宋_GB2312" w:eastAsia="仿宋_GB2312" w:cs="仿宋_GB2312"/>
                <w:lang w:val="en-US"/>
              </w:rPr>
            </w:pPr>
            <w:r>
              <w:rPr>
                <w:rFonts w:hint="eastAsia" w:ascii="仿宋_GB2312" w:hAnsi="仿宋_GB2312" w:eastAsia="仿宋_GB2312" w:cs="仿宋_GB2312"/>
                <w:lang w:val="en-US"/>
              </w:rPr>
              <w:t>序号</w:t>
            </w:r>
          </w:p>
        </w:tc>
        <w:tc>
          <w:tcPr>
            <w:tcW w:w="1044" w:type="dxa"/>
            <w:vAlign w:val="center"/>
          </w:tcPr>
          <w:p>
            <w:pPr>
              <w:pStyle w:val="41"/>
              <w:framePr w:hSpace="0" w:wrap="auto" w:vAnchor="margin" w:hAnchor="text" w:xAlign="left" w:yAlign="inline"/>
              <w:jc w:val="center"/>
              <w:rPr>
                <w:rFonts w:hint="eastAsia" w:ascii="仿宋_GB2312" w:hAnsi="仿宋_GB2312" w:eastAsia="仿宋_GB2312" w:cs="仿宋_GB2312"/>
              </w:rPr>
            </w:pPr>
            <w:r>
              <w:rPr>
                <w:rFonts w:hint="eastAsia" w:ascii="仿宋_GB2312" w:hAnsi="仿宋_GB2312" w:eastAsia="仿宋_GB2312" w:cs="仿宋_GB2312"/>
              </w:rPr>
              <w:t>项目名称</w:t>
            </w:r>
          </w:p>
        </w:tc>
        <w:tc>
          <w:tcPr>
            <w:tcW w:w="1441" w:type="dxa"/>
            <w:vAlign w:val="center"/>
          </w:tcPr>
          <w:p>
            <w:pPr>
              <w:pStyle w:val="41"/>
              <w:framePr w:hSpace="0" w:wrap="auto" w:vAnchor="margin" w:hAnchor="text" w:xAlign="left" w:yAlign="inline"/>
              <w:jc w:val="center"/>
              <w:rPr>
                <w:rFonts w:hint="eastAsia" w:ascii="仿宋_GB2312" w:hAnsi="仿宋_GB2312" w:eastAsia="仿宋_GB2312" w:cs="仿宋_GB2312"/>
              </w:rPr>
            </w:pPr>
          </w:p>
          <w:p>
            <w:pPr>
              <w:pStyle w:val="41"/>
              <w:framePr w:hSpace="0" w:wrap="auto" w:vAnchor="margin" w:hAnchor="text" w:xAlign="left" w:yAlign="inline"/>
              <w:jc w:val="center"/>
              <w:rPr>
                <w:rFonts w:hint="eastAsia" w:ascii="仿宋_GB2312" w:hAnsi="仿宋_GB2312" w:eastAsia="仿宋_GB2312" w:cs="仿宋_GB2312"/>
              </w:rPr>
            </w:pPr>
            <w:r>
              <w:rPr>
                <w:rFonts w:hint="eastAsia" w:ascii="仿宋_GB2312" w:hAnsi="仿宋_GB2312" w:eastAsia="仿宋_GB2312" w:cs="仿宋_GB2312"/>
              </w:rPr>
              <w:t>委托人名称</w:t>
            </w:r>
          </w:p>
          <w:p>
            <w:pPr>
              <w:pStyle w:val="41"/>
              <w:framePr w:hSpace="0" w:wrap="auto" w:vAnchor="margin" w:hAnchor="text" w:xAlign="left" w:yAlign="inline"/>
              <w:jc w:val="center"/>
              <w:rPr>
                <w:rFonts w:hint="eastAsia" w:ascii="仿宋_GB2312" w:hAnsi="仿宋_GB2312" w:eastAsia="仿宋_GB2312" w:cs="仿宋_GB2312"/>
              </w:rPr>
            </w:pPr>
          </w:p>
        </w:tc>
        <w:tc>
          <w:tcPr>
            <w:tcW w:w="974" w:type="dxa"/>
            <w:vAlign w:val="center"/>
          </w:tcPr>
          <w:p>
            <w:pPr>
              <w:pStyle w:val="41"/>
              <w:framePr w:hSpace="0" w:wrap="auto" w:vAnchor="margin" w:hAnchor="text" w:xAlign="left" w:yAlign="inline"/>
              <w:jc w:val="center"/>
              <w:rPr>
                <w:rFonts w:hint="eastAsia" w:ascii="仿宋_GB2312" w:hAnsi="仿宋_GB2312" w:eastAsia="仿宋_GB2312" w:cs="仿宋_GB2312"/>
              </w:rPr>
            </w:pPr>
            <w:r>
              <w:rPr>
                <w:rFonts w:hint="eastAsia" w:ascii="宋体" w:hAnsi="宋体" w:eastAsia="宋体" w:cs="宋体"/>
                <w:color w:val="000000"/>
                <w:szCs w:val="21"/>
              </w:rPr>
              <w:t>合同签订时间</w:t>
            </w:r>
          </w:p>
        </w:tc>
        <w:tc>
          <w:tcPr>
            <w:tcW w:w="974" w:type="dxa"/>
            <w:vAlign w:val="center"/>
          </w:tcPr>
          <w:p>
            <w:pPr>
              <w:pStyle w:val="41"/>
              <w:framePr w:hSpace="0" w:wrap="auto" w:vAnchor="margin" w:hAnchor="text" w:xAlign="left" w:yAlign="inline"/>
              <w:jc w:val="center"/>
              <w:rPr>
                <w:rFonts w:hint="eastAsia" w:ascii="仿宋_GB2312" w:hAnsi="仿宋_GB2312" w:eastAsia="仿宋_GB2312" w:cs="仿宋_GB2312"/>
              </w:rPr>
            </w:pPr>
            <w:r>
              <w:rPr>
                <w:rFonts w:hint="eastAsia" w:ascii="仿宋_GB2312" w:hAnsi="仿宋_GB2312" w:eastAsia="仿宋_GB2312" w:cs="仿宋_GB2312"/>
              </w:rPr>
              <w:t>总价</w:t>
            </w:r>
          </w:p>
          <w:p>
            <w:pPr>
              <w:pStyle w:val="41"/>
              <w:framePr w:hSpace="0" w:wrap="auto" w:vAnchor="margin" w:hAnchor="text" w:xAlign="left" w:yAlign="inline"/>
              <w:jc w:val="center"/>
              <w:rPr>
                <w:rFonts w:hint="eastAsia" w:ascii="仿宋_GB2312" w:hAnsi="仿宋_GB2312" w:eastAsia="仿宋_GB2312" w:cs="仿宋_GB2312"/>
              </w:rPr>
            </w:pPr>
            <w:r>
              <w:rPr>
                <w:rFonts w:hint="eastAsia" w:ascii="仿宋_GB2312" w:hAnsi="仿宋_GB2312" w:eastAsia="仿宋_GB2312" w:cs="仿宋_GB2312"/>
              </w:rPr>
              <w:t>（万元）</w:t>
            </w:r>
          </w:p>
        </w:tc>
        <w:tc>
          <w:tcPr>
            <w:tcW w:w="1315" w:type="dxa"/>
            <w:vAlign w:val="center"/>
          </w:tcPr>
          <w:p>
            <w:pPr>
              <w:pStyle w:val="41"/>
              <w:framePr w:hSpace="0" w:wrap="auto" w:vAnchor="margin" w:hAnchor="text" w:xAlign="left" w:yAlign="inline"/>
              <w:jc w:val="center"/>
              <w:rPr>
                <w:rFonts w:hint="eastAsia" w:ascii="仿宋_GB2312" w:hAnsi="仿宋_GB2312" w:eastAsia="仿宋_GB2312" w:cs="仿宋_GB2312"/>
              </w:rPr>
            </w:pPr>
            <w:r>
              <w:rPr>
                <w:rFonts w:hint="eastAsia" w:ascii="仿宋_GB2312" w:hAnsi="仿宋_GB2312" w:eastAsia="仿宋_GB2312" w:cs="仿宋_GB2312"/>
                <w:lang w:val="en-US" w:eastAsia="zh-CN"/>
              </w:rPr>
              <w:t>合同业绩</w:t>
            </w:r>
            <w:r>
              <w:rPr>
                <w:rFonts w:hint="eastAsia" w:ascii="仿宋_GB2312" w:hAnsi="仿宋_GB2312" w:eastAsia="仿宋_GB2312" w:cs="仿宋_GB2312"/>
              </w:rPr>
              <w:t>主要内容</w:t>
            </w:r>
          </w:p>
        </w:tc>
        <w:tc>
          <w:tcPr>
            <w:tcW w:w="1052" w:type="dxa"/>
            <w:vAlign w:val="center"/>
          </w:tcPr>
          <w:p>
            <w:pPr>
              <w:pStyle w:val="41"/>
              <w:framePr w:hSpace="0" w:wrap="auto" w:vAnchor="margin" w:hAnchor="text" w:xAlign="left" w:yAlign="inline"/>
              <w:jc w:val="center"/>
              <w:rPr>
                <w:rFonts w:hint="eastAsia" w:ascii="仿宋_GB2312" w:hAnsi="仿宋_GB2312" w:eastAsia="仿宋_GB2312" w:cs="仿宋_GB2312"/>
              </w:rPr>
            </w:pPr>
            <w:r>
              <w:rPr>
                <w:rFonts w:hint="eastAsia" w:ascii="仿宋_GB2312" w:hAnsi="仿宋_GB2312" w:eastAsia="仿宋_GB2312" w:cs="仿宋_GB2312"/>
              </w:rPr>
              <w:t>业绩</w:t>
            </w:r>
          </w:p>
          <w:p>
            <w:pPr>
              <w:pStyle w:val="41"/>
              <w:framePr w:hSpace="0" w:wrap="auto" w:vAnchor="margin" w:hAnchor="text" w:xAlign="left" w:yAlign="inline"/>
              <w:jc w:val="center"/>
              <w:rPr>
                <w:rFonts w:hint="eastAsia" w:ascii="仿宋_GB2312" w:hAnsi="仿宋_GB2312" w:eastAsia="仿宋_GB2312" w:cs="仿宋_GB2312"/>
              </w:rPr>
            </w:pPr>
            <w:r>
              <w:rPr>
                <w:rFonts w:hint="eastAsia" w:ascii="仿宋_GB2312" w:hAnsi="仿宋_GB2312" w:eastAsia="仿宋_GB2312" w:cs="仿宋_GB2312"/>
              </w:rPr>
              <w:t>类型</w:t>
            </w:r>
          </w:p>
        </w:tc>
        <w:tc>
          <w:tcPr>
            <w:tcW w:w="1052" w:type="dxa"/>
            <w:vAlign w:val="center"/>
          </w:tcPr>
          <w:p>
            <w:pPr>
              <w:pStyle w:val="41"/>
              <w:framePr w:hSpace="0" w:wrap="auto" w:vAnchor="margin" w:hAnchor="text" w:xAlign="left" w:yAlign="inline"/>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甲方联系方式</w:t>
            </w:r>
          </w:p>
        </w:tc>
        <w:tc>
          <w:tcPr>
            <w:tcW w:w="1052" w:type="dxa"/>
            <w:vAlign w:val="center"/>
          </w:tcPr>
          <w:p>
            <w:pPr>
              <w:pStyle w:val="41"/>
              <w:framePr w:hSpace="0" w:wrap="auto" w:vAnchor="margin" w:hAnchor="text" w:xAlign="left" w:yAlign="inline"/>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trPr>
        <w:tc>
          <w:tcPr>
            <w:tcW w:w="391" w:type="dxa"/>
            <w:vAlign w:val="center"/>
          </w:tcPr>
          <w:p>
            <w:pPr>
              <w:pStyle w:val="41"/>
              <w:framePr w:hSpace="0" w:wrap="auto" w:vAnchor="margin" w:hAnchor="text" w:xAlign="left" w:yAlign="inline"/>
              <w:jc w:val="center"/>
              <w:rPr>
                <w:rFonts w:hint="eastAsia" w:ascii="仿宋_GB2312" w:hAnsi="仿宋_GB2312" w:eastAsia="仿宋_GB2312" w:cs="仿宋_GB2312"/>
                <w:lang w:val="en-US"/>
              </w:rPr>
            </w:pPr>
            <w:r>
              <w:rPr>
                <w:rFonts w:hint="eastAsia" w:ascii="仿宋_GB2312" w:hAnsi="仿宋_GB2312" w:eastAsia="仿宋_GB2312" w:cs="仿宋_GB2312"/>
                <w:lang w:val="en-US"/>
              </w:rPr>
              <w:t>1</w:t>
            </w:r>
          </w:p>
        </w:tc>
        <w:tc>
          <w:tcPr>
            <w:tcW w:w="1044" w:type="dxa"/>
            <w:vAlign w:val="center"/>
          </w:tcPr>
          <w:p>
            <w:pPr>
              <w:pStyle w:val="41"/>
              <w:framePr w:hSpace="0" w:wrap="auto" w:vAnchor="margin" w:hAnchor="text" w:xAlign="left" w:yAlign="inline"/>
              <w:jc w:val="center"/>
              <w:rPr>
                <w:rFonts w:hint="eastAsia" w:ascii="仿宋_GB2312" w:hAnsi="仿宋_GB2312" w:eastAsia="仿宋_GB2312" w:cs="仿宋_GB2312"/>
              </w:rPr>
            </w:pPr>
          </w:p>
        </w:tc>
        <w:tc>
          <w:tcPr>
            <w:tcW w:w="1441" w:type="dxa"/>
            <w:vAlign w:val="center"/>
          </w:tcPr>
          <w:p>
            <w:pPr>
              <w:pStyle w:val="41"/>
              <w:framePr w:hSpace="0" w:wrap="auto" w:vAnchor="margin" w:hAnchor="text" w:xAlign="left" w:yAlign="inline"/>
              <w:jc w:val="center"/>
              <w:rPr>
                <w:rFonts w:hint="eastAsia" w:ascii="仿宋_GB2312" w:hAnsi="仿宋_GB2312" w:eastAsia="仿宋_GB2312" w:cs="仿宋_GB2312"/>
              </w:rPr>
            </w:pPr>
          </w:p>
        </w:tc>
        <w:tc>
          <w:tcPr>
            <w:tcW w:w="974" w:type="dxa"/>
            <w:vAlign w:val="center"/>
          </w:tcPr>
          <w:p>
            <w:pPr>
              <w:pStyle w:val="41"/>
              <w:framePr w:hSpace="0" w:wrap="auto" w:vAnchor="margin" w:hAnchor="text" w:xAlign="left" w:yAlign="inline"/>
              <w:jc w:val="center"/>
              <w:rPr>
                <w:rFonts w:hint="eastAsia" w:ascii="仿宋_GB2312" w:hAnsi="仿宋_GB2312" w:eastAsia="仿宋_GB2312" w:cs="仿宋_GB2312"/>
              </w:rPr>
            </w:pPr>
          </w:p>
        </w:tc>
        <w:tc>
          <w:tcPr>
            <w:tcW w:w="974" w:type="dxa"/>
            <w:vAlign w:val="center"/>
          </w:tcPr>
          <w:p>
            <w:pPr>
              <w:pStyle w:val="41"/>
              <w:framePr w:hSpace="0" w:wrap="auto" w:vAnchor="margin" w:hAnchor="text" w:xAlign="left" w:yAlign="inline"/>
              <w:jc w:val="center"/>
              <w:rPr>
                <w:rFonts w:hint="eastAsia" w:ascii="仿宋_GB2312" w:hAnsi="仿宋_GB2312" w:eastAsia="仿宋_GB2312" w:cs="仿宋_GB2312"/>
              </w:rPr>
            </w:pPr>
          </w:p>
        </w:tc>
        <w:tc>
          <w:tcPr>
            <w:tcW w:w="1315" w:type="dxa"/>
            <w:vAlign w:val="center"/>
          </w:tcPr>
          <w:p>
            <w:pPr>
              <w:pStyle w:val="41"/>
              <w:framePr w:hSpace="0" w:wrap="auto" w:vAnchor="margin" w:hAnchor="text" w:xAlign="left" w:yAlign="inline"/>
              <w:jc w:val="center"/>
              <w:rPr>
                <w:rFonts w:hint="eastAsia" w:ascii="仿宋_GB2312" w:hAnsi="仿宋_GB2312" w:eastAsia="仿宋_GB2312" w:cs="仿宋_GB2312"/>
              </w:rPr>
            </w:pPr>
          </w:p>
        </w:tc>
        <w:tc>
          <w:tcPr>
            <w:tcW w:w="1052" w:type="dxa"/>
            <w:vAlign w:val="center"/>
          </w:tcPr>
          <w:p>
            <w:pPr>
              <w:pStyle w:val="41"/>
              <w:framePr w:hSpace="0" w:wrap="auto" w:vAnchor="margin" w:hAnchor="text" w:xAlign="left" w:yAlign="inline"/>
              <w:jc w:val="center"/>
              <w:rPr>
                <w:rFonts w:hint="eastAsia" w:ascii="仿宋_GB2312" w:hAnsi="仿宋_GB2312" w:eastAsia="仿宋_GB2312" w:cs="仿宋_GB2312"/>
              </w:rPr>
            </w:pPr>
          </w:p>
        </w:tc>
        <w:tc>
          <w:tcPr>
            <w:tcW w:w="1052" w:type="dxa"/>
            <w:vAlign w:val="center"/>
          </w:tcPr>
          <w:p>
            <w:pPr>
              <w:pStyle w:val="41"/>
              <w:framePr w:hSpace="0" w:wrap="auto" w:vAnchor="margin" w:hAnchor="text" w:xAlign="left" w:yAlign="inline"/>
              <w:jc w:val="center"/>
              <w:rPr>
                <w:rFonts w:hint="eastAsia" w:ascii="仿宋_GB2312" w:hAnsi="仿宋_GB2312" w:eastAsia="仿宋_GB2312" w:cs="仿宋_GB2312"/>
              </w:rPr>
            </w:pPr>
          </w:p>
        </w:tc>
        <w:tc>
          <w:tcPr>
            <w:tcW w:w="1052" w:type="dxa"/>
            <w:vAlign w:val="center"/>
          </w:tcPr>
          <w:p>
            <w:pPr>
              <w:pStyle w:val="41"/>
              <w:framePr w:hSpace="0" w:wrap="auto" w:vAnchor="margin" w:hAnchor="text" w:xAlign="left" w:yAlign="inline"/>
              <w:jc w:val="center"/>
              <w:rPr>
                <w:rFonts w:hint="eastAsia" w:ascii="仿宋_GB2312" w:hAnsi="仿宋_GB2312" w:eastAsia="仿宋_GB2312" w:cs="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trPr>
        <w:tc>
          <w:tcPr>
            <w:tcW w:w="391" w:type="dxa"/>
            <w:vAlign w:val="center"/>
          </w:tcPr>
          <w:p>
            <w:pPr>
              <w:pStyle w:val="41"/>
              <w:framePr w:hSpace="0" w:wrap="auto" w:vAnchor="margin" w:hAnchor="text" w:xAlign="left" w:yAlign="inline"/>
              <w:jc w:val="center"/>
              <w:rPr>
                <w:rFonts w:hint="eastAsia" w:ascii="仿宋_GB2312" w:hAnsi="仿宋_GB2312" w:eastAsia="仿宋_GB2312" w:cs="仿宋_GB2312"/>
                <w:lang w:val="en-US"/>
              </w:rPr>
            </w:pPr>
            <w:r>
              <w:rPr>
                <w:rFonts w:hint="eastAsia" w:ascii="仿宋_GB2312" w:hAnsi="仿宋_GB2312" w:eastAsia="仿宋_GB2312" w:cs="仿宋_GB2312"/>
                <w:lang w:val="en-US"/>
              </w:rPr>
              <w:t>2</w:t>
            </w:r>
          </w:p>
        </w:tc>
        <w:tc>
          <w:tcPr>
            <w:tcW w:w="1044" w:type="dxa"/>
            <w:vAlign w:val="center"/>
          </w:tcPr>
          <w:p>
            <w:pPr>
              <w:pStyle w:val="41"/>
              <w:framePr w:hSpace="0" w:wrap="auto" w:vAnchor="margin" w:hAnchor="text" w:xAlign="left" w:yAlign="inline"/>
              <w:jc w:val="center"/>
              <w:rPr>
                <w:rFonts w:hint="eastAsia" w:ascii="仿宋_GB2312" w:hAnsi="仿宋_GB2312" w:eastAsia="仿宋_GB2312" w:cs="仿宋_GB2312"/>
              </w:rPr>
            </w:pPr>
          </w:p>
        </w:tc>
        <w:tc>
          <w:tcPr>
            <w:tcW w:w="1441" w:type="dxa"/>
            <w:vAlign w:val="center"/>
          </w:tcPr>
          <w:p>
            <w:pPr>
              <w:pStyle w:val="41"/>
              <w:framePr w:hSpace="0" w:wrap="auto" w:vAnchor="margin" w:hAnchor="text" w:xAlign="left" w:yAlign="inline"/>
              <w:jc w:val="center"/>
              <w:rPr>
                <w:rFonts w:hint="eastAsia" w:ascii="仿宋_GB2312" w:hAnsi="仿宋_GB2312" w:eastAsia="仿宋_GB2312" w:cs="仿宋_GB2312"/>
              </w:rPr>
            </w:pPr>
          </w:p>
        </w:tc>
        <w:tc>
          <w:tcPr>
            <w:tcW w:w="974" w:type="dxa"/>
            <w:vAlign w:val="center"/>
          </w:tcPr>
          <w:p>
            <w:pPr>
              <w:pStyle w:val="41"/>
              <w:framePr w:hSpace="0" w:wrap="auto" w:vAnchor="margin" w:hAnchor="text" w:xAlign="left" w:yAlign="inline"/>
              <w:jc w:val="center"/>
              <w:rPr>
                <w:rFonts w:hint="eastAsia" w:ascii="仿宋_GB2312" w:hAnsi="仿宋_GB2312" w:eastAsia="仿宋_GB2312" w:cs="仿宋_GB2312"/>
              </w:rPr>
            </w:pPr>
          </w:p>
        </w:tc>
        <w:tc>
          <w:tcPr>
            <w:tcW w:w="974" w:type="dxa"/>
            <w:vAlign w:val="center"/>
          </w:tcPr>
          <w:p>
            <w:pPr>
              <w:pStyle w:val="41"/>
              <w:framePr w:hSpace="0" w:wrap="auto" w:vAnchor="margin" w:hAnchor="text" w:xAlign="left" w:yAlign="inline"/>
              <w:jc w:val="center"/>
              <w:rPr>
                <w:rFonts w:hint="eastAsia" w:ascii="仿宋_GB2312" w:hAnsi="仿宋_GB2312" w:eastAsia="仿宋_GB2312" w:cs="仿宋_GB2312"/>
              </w:rPr>
            </w:pPr>
          </w:p>
        </w:tc>
        <w:tc>
          <w:tcPr>
            <w:tcW w:w="1315" w:type="dxa"/>
            <w:vAlign w:val="center"/>
          </w:tcPr>
          <w:p>
            <w:pPr>
              <w:pStyle w:val="41"/>
              <w:framePr w:hSpace="0" w:wrap="auto" w:vAnchor="margin" w:hAnchor="text" w:xAlign="left" w:yAlign="inline"/>
              <w:jc w:val="center"/>
              <w:rPr>
                <w:rFonts w:hint="eastAsia" w:ascii="仿宋_GB2312" w:hAnsi="仿宋_GB2312" w:eastAsia="仿宋_GB2312" w:cs="仿宋_GB2312"/>
              </w:rPr>
            </w:pPr>
          </w:p>
        </w:tc>
        <w:tc>
          <w:tcPr>
            <w:tcW w:w="1052" w:type="dxa"/>
            <w:vAlign w:val="center"/>
          </w:tcPr>
          <w:p>
            <w:pPr>
              <w:pStyle w:val="41"/>
              <w:framePr w:hSpace="0" w:wrap="auto" w:vAnchor="margin" w:hAnchor="text" w:xAlign="left" w:yAlign="inline"/>
              <w:jc w:val="center"/>
              <w:rPr>
                <w:rFonts w:hint="eastAsia" w:ascii="仿宋_GB2312" w:hAnsi="仿宋_GB2312" w:eastAsia="仿宋_GB2312" w:cs="仿宋_GB2312"/>
              </w:rPr>
            </w:pPr>
          </w:p>
        </w:tc>
        <w:tc>
          <w:tcPr>
            <w:tcW w:w="1052" w:type="dxa"/>
            <w:vAlign w:val="center"/>
          </w:tcPr>
          <w:p>
            <w:pPr>
              <w:pStyle w:val="41"/>
              <w:framePr w:hSpace="0" w:wrap="auto" w:vAnchor="margin" w:hAnchor="text" w:xAlign="left" w:yAlign="inline"/>
              <w:jc w:val="center"/>
              <w:rPr>
                <w:rFonts w:hint="eastAsia" w:ascii="仿宋_GB2312" w:hAnsi="仿宋_GB2312" w:eastAsia="仿宋_GB2312" w:cs="仿宋_GB2312"/>
              </w:rPr>
            </w:pPr>
          </w:p>
        </w:tc>
        <w:tc>
          <w:tcPr>
            <w:tcW w:w="1052" w:type="dxa"/>
            <w:vAlign w:val="center"/>
          </w:tcPr>
          <w:p>
            <w:pPr>
              <w:pStyle w:val="41"/>
              <w:framePr w:hSpace="0" w:wrap="auto" w:vAnchor="margin" w:hAnchor="text" w:xAlign="left" w:yAlign="inline"/>
              <w:jc w:val="center"/>
              <w:rPr>
                <w:rFonts w:hint="eastAsia" w:ascii="仿宋_GB2312" w:hAnsi="仿宋_GB2312" w:eastAsia="仿宋_GB2312" w:cs="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391" w:type="dxa"/>
            <w:vAlign w:val="center"/>
          </w:tcPr>
          <w:p>
            <w:pPr>
              <w:pStyle w:val="41"/>
              <w:framePr w:hSpace="0" w:wrap="auto" w:vAnchor="margin" w:hAnchor="text" w:xAlign="left" w:yAlign="inline"/>
              <w:jc w:val="center"/>
              <w:rPr>
                <w:rFonts w:hint="eastAsia" w:ascii="仿宋_GB2312" w:hAnsi="仿宋_GB2312" w:eastAsia="仿宋_GB2312" w:cs="仿宋_GB2312"/>
                <w:lang w:val="en-US"/>
              </w:rPr>
            </w:pPr>
            <w:r>
              <w:rPr>
                <w:rFonts w:hint="eastAsia" w:ascii="仿宋_GB2312" w:hAnsi="仿宋_GB2312" w:eastAsia="仿宋_GB2312" w:cs="仿宋_GB2312"/>
                <w:lang w:val="en-US"/>
              </w:rPr>
              <w:t>3</w:t>
            </w:r>
          </w:p>
        </w:tc>
        <w:tc>
          <w:tcPr>
            <w:tcW w:w="1044" w:type="dxa"/>
            <w:vAlign w:val="center"/>
          </w:tcPr>
          <w:p>
            <w:pPr>
              <w:pStyle w:val="41"/>
              <w:framePr w:hSpace="0" w:wrap="auto" w:vAnchor="margin" w:hAnchor="text" w:xAlign="left" w:yAlign="inline"/>
              <w:jc w:val="center"/>
              <w:rPr>
                <w:rFonts w:hint="eastAsia" w:ascii="仿宋_GB2312" w:hAnsi="仿宋_GB2312" w:eastAsia="仿宋_GB2312" w:cs="仿宋_GB2312"/>
              </w:rPr>
            </w:pPr>
          </w:p>
        </w:tc>
        <w:tc>
          <w:tcPr>
            <w:tcW w:w="1441" w:type="dxa"/>
            <w:vAlign w:val="center"/>
          </w:tcPr>
          <w:p>
            <w:pPr>
              <w:pStyle w:val="41"/>
              <w:framePr w:hSpace="0" w:wrap="auto" w:vAnchor="margin" w:hAnchor="text" w:xAlign="left" w:yAlign="inline"/>
              <w:jc w:val="center"/>
              <w:rPr>
                <w:rFonts w:hint="eastAsia" w:ascii="仿宋_GB2312" w:hAnsi="仿宋_GB2312" w:eastAsia="仿宋_GB2312" w:cs="仿宋_GB2312"/>
              </w:rPr>
            </w:pPr>
          </w:p>
        </w:tc>
        <w:tc>
          <w:tcPr>
            <w:tcW w:w="974" w:type="dxa"/>
            <w:vAlign w:val="center"/>
          </w:tcPr>
          <w:p>
            <w:pPr>
              <w:pStyle w:val="41"/>
              <w:framePr w:hSpace="0" w:wrap="auto" w:vAnchor="margin" w:hAnchor="text" w:xAlign="left" w:yAlign="inline"/>
              <w:jc w:val="center"/>
              <w:rPr>
                <w:rFonts w:hint="eastAsia" w:ascii="仿宋_GB2312" w:hAnsi="仿宋_GB2312" w:eastAsia="仿宋_GB2312" w:cs="仿宋_GB2312"/>
              </w:rPr>
            </w:pPr>
          </w:p>
        </w:tc>
        <w:tc>
          <w:tcPr>
            <w:tcW w:w="974" w:type="dxa"/>
            <w:vAlign w:val="center"/>
          </w:tcPr>
          <w:p>
            <w:pPr>
              <w:pStyle w:val="41"/>
              <w:framePr w:hSpace="0" w:wrap="auto" w:vAnchor="margin" w:hAnchor="text" w:xAlign="left" w:yAlign="inline"/>
              <w:jc w:val="center"/>
              <w:rPr>
                <w:rFonts w:hint="eastAsia" w:ascii="仿宋_GB2312" w:hAnsi="仿宋_GB2312" w:eastAsia="仿宋_GB2312" w:cs="仿宋_GB2312"/>
              </w:rPr>
            </w:pPr>
          </w:p>
        </w:tc>
        <w:tc>
          <w:tcPr>
            <w:tcW w:w="1315" w:type="dxa"/>
            <w:vAlign w:val="center"/>
          </w:tcPr>
          <w:p>
            <w:pPr>
              <w:pStyle w:val="41"/>
              <w:framePr w:hSpace="0" w:wrap="auto" w:vAnchor="margin" w:hAnchor="text" w:xAlign="left" w:yAlign="inline"/>
              <w:jc w:val="center"/>
              <w:rPr>
                <w:rFonts w:hint="eastAsia" w:ascii="仿宋_GB2312" w:hAnsi="仿宋_GB2312" w:eastAsia="仿宋_GB2312" w:cs="仿宋_GB2312"/>
              </w:rPr>
            </w:pPr>
          </w:p>
        </w:tc>
        <w:tc>
          <w:tcPr>
            <w:tcW w:w="1052" w:type="dxa"/>
            <w:vAlign w:val="center"/>
          </w:tcPr>
          <w:p>
            <w:pPr>
              <w:pStyle w:val="41"/>
              <w:framePr w:hSpace="0" w:wrap="auto" w:vAnchor="margin" w:hAnchor="text" w:xAlign="left" w:yAlign="inline"/>
              <w:jc w:val="center"/>
              <w:rPr>
                <w:rFonts w:hint="eastAsia" w:ascii="仿宋_GB2312" w:hAnsi="仿宋_GB2312" w:eastAsia="仿宋_GB2312" w:cs="仿宋_GB2312"/>
              </w:rPr>
            </w:pPr>
          </w:p>
        </w:tc>
        <w:tc>
          <w:tcPr>
            <w:tcW w:w="1052" w:type="dxa"/>
            <w:vAlign w:val="center"/>
          </w:tcPr>
          <w:p>
            <w:pPr>
              <w:pStyle w:val="41"/>
              <w:framePr w:hSpace="0" w:wrap="auto" w:vAnchor="margin" w:hAnchor="text" w:xAlign="left" w:yAlign="inline"/>
              <w:jc w:val="center"/>
              <w:rPr>
                <w:rFonts w:hint="eastAsia" w:ascii="仿宋_GB2312" w:hAnsi="仿宋_GB2312" w:eastAsia="仿宋_GB2312" w:cs="仿宋_GB2312"/>
              </w:rPr>
            </w:pPr>
          </w:p>
        </w:tc>
        <w:tc>
          <w:tcPr>
            <w:tcW w:w="1052" w:type="dxa"/>
            <w:vAlign w:val="center"/>
          </w:tcPr>
          <w:p>
            <w:pPr>
              <w:pStyle w:val="41"/>
              <w:framePr w:hSpace="0" w:wrap="auto" w:vAnchor="margin" w:hAnchor="text" w:xAlign="left" w:yAlign="inline"/>
              <w:jc w:val="center"/>
              <w:rPr>
                <w:rFonts w:hint="eastAsia" w:ascii="仿宋_GB2312" w:hAnsi="仿宋_GB2312" w:eastAsia="仿宋_GB2312" w:cs="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trPr>
        <w:tc>
          <w:tcPr>
            <w:tcW w:w="391" w:type="dxa"/>
            <w:vAlign w:val="center"/>
          </w:tcPr>
          <w:p>
            <w:pPr>
              <w:pStyle w:val="41"/>
              <w:framePr w:hSpace="0" w:wrap="auto" w:vAnchor="margin" w:hAnchor="text" w:xAlign="left" w:yAlign="inline"/>
              <w:jc w:val="center"/>
              <w:rPr>
                <w:rFonts w:hint="eastAsia" w:ascii="仿宋_GB2312" w:hAnsi="仿宋_GB2312" w:eastAsia="仿宋_GB2312" w:cs="仿宋_GB2312"/>
              </w:rPr>
            </w:pPr>
          </w:p>
        </w:tc>
        <w:tc>
          <w:tcPr>
            <w:tcW w:w="1044" w:type="dxa"/>
            <w:vAlign w:val="center"/>
          </w:tcPr>
          <w:p>
            <w:pPr>
              <w:pStyle w:val="41"/>
              <w:framePr w:hSpace="0" w:wrap="auto" w:vAnchor="margin" w:hAnchor="text" w:xAlign="left" w:yAlign="inline"/>
              <w:jc w:val="center"/>
              <w:rPr>
                <w:rFonts w:hint="eastAsia" w:ascii="仿宋_GB2312" w:hAnsi="仿宋_GB2312" w:eastAsia="仿宋_GB2312" w:cs="仿宋_GB2312"/>
              </w:rPr>
            </w:pPr>
          </w:p>
        </w:tc>
        <w:tc>
          <w:tcPr>
            <w:tcW w:w="1441" w:type="dxa"/>
            <w:vAlign w:val="center"/>
          </w:tcPr>
          <w:p>
            <w:pPr>
              <w:pStyle w:val="41"/>
              <w:framePr w:hSpace="0" w:wrap="auto" w:vAnchor="margin" w:hAnchor="text" w:xAlign="left" w:yAlign="inline"/>
              <w:jc w:val="center"/>
              <w:rPr>
                <w:rFonts w:hint="eastAsia" w:ascii="仿宋_GB2312" w:hAnsi="仿宋_GB2312" w:eastAsia="仿宋_GB2312" w:cs="仿宋_GB2312"/>
              </w:rPr>
            </w:pPr>
          </w:p>
        </w:tc>
        <w:tc>
          <w:tcPr>
            <w:tcW w:w="974" w:type="dxa"/>
            <w:vAlign w:val="center"/>
          </w:tcPr>
          <w:p>
            <w:pPr>
              <w:pStyle w:val="41"/>
              <w:framePr w:hSpace="0" w:wrap="auto" w:vAnchor="margin" w:hAnchor="text" w:xAlign="left" w:yAlign="inline"/>
              <w:jc w:val="center"/>
              <w:rPr>
                <w:rFonts w:hint="eastAsia" w:ascii="仿宋_GB2312" w:hAnsi="仿宋_GB2312" w:eastAsia="仿宋_GB2312" w:cs="仿宋_GB2312"/>
              </w:rPr>
            </w:pPr>
          </w:p>
        </w:tc>
        <w:tc>
          <w:tcPr>
            <w:tcW w:w="974" w:type="dxa"/>
            <w:vAlign w:val="center"/>
          </w:tcPr>
          <w:p>
            <w:pPr>
              <w:pStyle w:val="41"/>
              <w:framePr w:hSpace="0" w:wrap="auto" w:vAnchor="margin" w:hAnchor="text" w:xAlign="left" w:yAlign="inline"/>
              <w:jc w:val="center"/>
              <w:rPr>
                <w:rFonts w:hint="eastAsia" w:ascii="仿宋_GB2312" w:hAnsi="仿宋_GB2312" w:eastAsia="仿宋_GB2312" w:cs="仿宋_GB2312"/>
              </w:rPr>
            </w:pPr>
          </w:p>
        </w:tc>
        <w:tc>
          <w:tcPr>
            <w:tcW w:w="1315" w:type="dxa"/>
            <w:vAlign w:val="center"/>
          </w:tcPr>
          <w:p>
            <w:pPr>
              <w:pStyle w:val="41"/>
              <w:framePr w:hSpace="0" w:wrap="auto" w:vAnchor="margin" w:hAnchor="text" w:xAlign="left" w:yAlign="inline"/>
              <w:jc w:val="center"/>
              <w:rPr>
                <w:rFonts w:hint="eastAsia" w:ascii="仿宋_GB2312" w:hAnsi="仿宋_GB2312" w:eastAsia="仿宋_GB2312" w:cs="仿宋_GB2312"/>
              </w:rPr>
            </w:pPr>
          </w:p>
        </w:tc>
        <w:tc>
          <w:tcPr>
            <w:tcW w:w="1052" w:type="dxa"/>
            <w:vAlign w:val="center"/>
          </w:tcPr>
          <w:p>
            <w:pPr>
              <w:pStyle w:val="41"/>
              <w:framePr w:hSpace="0" w:wrap="auto" w:vAnchor="margin" w:hAnchor="text" w:xAlign="left" w:yAlign="inline"/>
              <w:jc w:val="center"/>
              <w:rPr>
                <w:rFonts w:hint="eastAsia" w:ascii="仿宋_GB2312" w:hAnsi="仿宋_GB2312" w:eastAsia="仿宋_GB2312" w:cs="仿宋_GB2312"/>
              </w:rPr>
            </w:pPr>
          </w:p>
        </w:tc>
        <w:tc>
          <w:tcPr>
            <w:tcW w:w="1052" w:type="dxa"/>
            <w:vAlign w:val="center"/>
          </w:tcPr>
          <w:p>
            <w:pPr>
              <w:pStyle w:val="41"/>
              <w:framePr w:hSpace="0" w:wrap="auto" w:vAnchor="margin" w:hAnchor="text" w:xAlign="left" w:yAlign="inline"/>
              <w:jc w:val="center"/>
              <w:rPr>
                <w:rFonts w:hint="eastAsia" w:ascii="仿宋_GB2312" w:hAnsi="仿宋_GB2312" w:eastAsia="仿宋_GB2312" w:cs="仿宋_GB2312"/>
              </w:rPr>
            </w:pPr>
          </w:p>
        </w:tc>
        <w:tc>
          <w:tcPr>
            <w:tcW w:w="1052" w:type="dxa"/>
            <w:vAlign w:val="center"/>
          </w:tcPr>
          <w:p>
            <w:pPr>
              <w:pStyle w:val="41"/>
              <w:framePr w:hSpace="0" w:wrap="auto" w:vAnchor="margin" w:hAnchor="text" w:xAlign="left" w:yAlign="inline"/>
              <w:jc w:val="center"/>
              <w:rPr>
                <w:rFonts w:hint="eastAsia" w:ascii="仿宋_GB2312" w:hAnsi="仿宋_GB2312" w:eastAsia="仿宋_GB2312" w:cs="仿宋_GB2312"/>
              </w:rPr>
            </w:pPr>
          </w:p>
        </w:tc>
      </w:tr>
    </w:tbl>
    <w:p>
      <w:pPr>
        <w:pStyle w:val="14"/>
        <w:spacing w:before="11" w:after="1"/>
        <w:rPr>
          <w:rFonts w:hint="eastAsia" w:ascii="仿宋_GB2312" w:hAnsi="仿宋_GB2312" w:eastAsia="仿宋_GB2312" w:cs="仿宋_GB2312"/>
          <w:b/>
          <w:sz w:val="24"/>
        </w:rPr>
      </w:pPr>
    </w:p>
    <w:p>
      <w:pPr>
        <w:spacing w:line="360" w:lineRule="auto"/>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注： 1.比选申请人近三年（自2022年1月1日至</w:t>
      </w:r>
      <w:r>
        <w:rPr>
          <w:rFonts w:hint="eastAsia" w:ascii="仿宋_GB2312" w:hAnsi="仿宋_GB2312" w:eastAsia="仿宋_GB2312" w:cs="仿宋_GB2312"/>
          <w:bCs/>
          <w:szCs w:val="21"/>
          <w:lang w:eastAsia="zh-CN"/>
        </w:rPr>
        <w:t>比选申请</w:t>
      </w:r>
      <w:r>
        <w:rPr>
          <w:rFonts w:hint="eastAsia" w:ascii="仿宋_GB2312" w:hAnsi="仿宋_GB2312" w:eastAsia="仿宋_GB2312" w:cs="仿宋_GB2312"/>
          <w:bCs/>
          <w:szCs w:val="21"/>
        </w:rPr>
        <w:t>截止日）的类似项目业绩情况填入本表中。</w:t>
      </w:r>
    </w:p>
    <w:p>
      <w:pPr>
        <w:spacing w:line="360" w:lineRule="auto"/>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2．应在本表后附中标&lt;选&gt;通知书或技术服务合同或由业主确认的业绩证明材料等证明文件的复印件，</w:t>
      </w:r>
      <w:r>
        <w:rPr>
          <w:rFonts w:hint="eastAsia" w:cs="仿宋" w:asciiTheme="minorEastAsia" w:hAnsiTheme="minorEastAsia" w:eastAsiaTheme="minorEastAsia"/>
          <w:bCs/>
        </w:rPr>
        <w:t>合同证明资料应能体现相关</w:t>
      </w:r>
      <w:r>
        <w:rPr>
          <w:rFonts w:hint="eastAsia" w:cs="仿宋" w:asciiTheme="minorEastAsia" w:hAnsiTheme="minorEastAsia" w:eastAsiaTheme="minorEastAsia"/>
          <w:b/>
          <w:bCs w:val="0"/>
        </w:rPr>
        <w:t>合同签订时间、合同范围、合同签署页</w:t>
      </w:r>
      <w:r>
        <w:rPr>
          <w:rFonts w:hint="eastAsia" w:cs="仿宋" w:asciiTheme="minorEastAsia" w:hAnsiTheme="minorEastAsia" w:eastAsiaTheme="minorEastAsia"/>
          <w:bCs/>
        </w:rPr>
        <w:t>等内容，并加盖比选申请人公章</w:t>
      </w:r>
      <w:r>
        <w:rPr>
          <w:rFonts w:hint="eastAsia" w:cs="仿宋" w:asciiTheme="minorEastAsia" w:hAnsiTheme="minorEastAsia"/>
          <w:bCs/>
          <w:lang w:val="en-US" w:eastAsia="zh-CN"/>
        </w:rPr>
        <w:t>,</w:t>
      </w:r>
      <w:r>
        <w:rPr>
          <w:rFonts w:hint="eastAsia" w:ascii="仿宋_GB2312" w:hAnsi="仿宋_GB2312" w:eastAsia="仿宋_GB2312" w:cs="仿宋_GB2312"/>
          <w:bCs/>
          <w:szCs w:val="21"/>
        </w:rPr>
        <w:t>因比选申请人自身原因未提供附件或提供的附件不能与所证明的内容相匹配，造成业绩或其他内容不予认可时，比选申请人自行承担相关责任。</w:t>
      </w:r>
    </w:p>
    <w:p>
      <w:pPr>
        <w:spacing w:line="360" w:lineRule="auto"/>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3.如比选申请人法人机构发生合法变更或重组、或法人名称变更时，应提供相关部门的合法批准文件或其他合法证明材料来证明其所附业绩的合法继承。</w:t>
      </w:r>
    </w:p>
    <w:p>
      <w:pPr>
        <w:spacing w:line="480" w:lineRule="exact"/>
        <w:ind w:firstLine="420" w:firstLineChars="200"/>
        <w:jc w:val="left"/>
        <w:rPr>
          <w:rFonts w:hint="eastAsia" w:ascii="仿宋_GB2312" w:hAnsi="仿宋_GB2312" w:eastAsia="仿宋_GB2312" w:cs="仿宋_GB2312"/>
          <w:szCs w:val="21"/>
        </w:rPr>
      </w:pPr>
      <w:r>
        <w:rPr>
          <w:rFonts w:ascii="仿宋_GB2312" w:hAnsi="仿宋_GB2312" w:eastAsia="仿宋_GB2312" w:cs="仿宋_GB2312"/>
          <w:szCs w:val="21"/>
        </w:rPr>
        <w:t xml:space="preserve">               </w:t>
      </w:r>
      <w:r>
        <w:rPr>
          <w:rFonts w:hint="eastAsia" w:ascii="仿宋_GB2312" w:hAnsi="仿宋_GB2312" w:eastAsia="仿宋_GB2312" w:cs="仿宋_GB2312"/>
          <w:szCs w:val="21"/>
        </w:rPr>
        <w:t xml:space="preserve">                         </w:t>
      </w:r>
    </w:p>
    <w:p>
      <w:pPr>
        <w:spacing w:line="480" w:lineRule="exact"/>
        <w:ind w:firstLine="4620" w:firstLineChars="2200"/>
        <w:jc w:val="left"/>
        <w:rPr>
          <w:rFonts w:hint="eastAsia" w:ascii="仿宋_GB2312" w:hAnsi="仿宋_GB2312" w:eastAsia="仿宋_GB2312" w:cs="仿宋_GB2312"/>
          <w:szCs w:val="21"/>
        </w:rPr>
      </w:pPr>
      <w:r>
        <w:rPr>
          <w:rFonts w:hint="eastAsia" w:ascii="仿宋_GB2312" w:hAnsi="仿宋_GB2312" w:eastAsia="仿宋_GB2312" w:cs="仿宋_GB2312"/>
          <w:szCs w:val="21"/>
        </w:rPr>
        <w:t>比选申请人：</w:t>
      </w:r>
      <w:r>
        <w:rPr>
          <w:rFonts w:hint="eastAsia" w:ascii="仿宋_GB2312" w:hAnsi="仿宋_GB2312" w:eastAsia="仿宋_GB2312" w:cs="仿宋_GB2312"/>
          <w:szCs w:val="21"/>
          <w:u w:val="single"/>
        </w:rPr>
        <w:t xml:space="preserve">       （全称）        </w:t>
      </w:r>
      <w:r>
        <w:rPr>
          <w:rFonts w:hint="eastAsia" w:ascii="仿宋_GB2312" w:hAnsi="仿宋_GB2312" w:eastAsia="仿宋_GB2312" w:cs="仿宋_GB2312"/>
          <w:szCs w:val="21"/>
        </w:rPr>
        <w:t>（盖章） </w:t>
      </w:r>
    </w:p>
    <w:p>
      <w:pPr>
        <w:spacing w:line="480" w:lineRule="exact"/>
        <w:ind w:firstLine="6090" w:firstLineChars="2900"/>
        <w:jc w:val="left"/>
        <w:rPr>
          <w:rFonts w:hint="eastAsia" w:ascii="仿宋_GB2312" w:hAnsi="仿宋_GB2312" w:eastAsia="仿宋_GB2312" w:cs="仿宋_GB2312"/>
          <w:szCs w:val="21"/>
        </w:rPr>
      </w:pPr>
    </w:p>
    <w:p>
      <w:pPr>
        <w:spacing w:line="480" w:lineRule="exact"/>
        <w:ind w:firstLine="5460" w:firstLineChars="2600"/>
        <w:rPr>
          <w:rFonts w:hint="eastAsia" w:ascii="仿宋_GB2312" w:hAnsi="仿宋_GB2312" w:eastAsia="仿宋_GB2312" w:cs="仿宋_GB2312"/>
          <w:szCs w:val="21"/>
        </w:rPr>
      </w:pPr>
      <w:r>
        <w:rPr>
          <w:rFonts w:hint="eastAsia" w:ascii="仿宋_GB2312" w:hAnsi="仿宋_GB2312" w:eastAsia="仿宋_GB2312" w:cs="仿宋_GB2312"/>
          <w:szCs w:val="21"/>
        </w:rPr>
        <w:t>日期：   年   月   日</w:t>
      </w:r>
    </w:p>
    <w:p>
      <w:pPr>
        <w:pStyle w:val="14"/>
        <w:spacing w:before="102"/>
        <w:ind w:right="-94" w:firstLine="420"/>
        <w:rPr>
          <w:rFonts w:hint="eastAsia" w:ascii="仿宋_GB2312" w:hAnsi="仿宋_GB2312" w:eastAsia="仿宋_GB2312" w:cs="仿宋_GB2312"/>
          <w:spacing w:val="-1"/>
          <w:szCs w:val="21"/>
        </w:rPr>
      </w:pPr>
    </w:p>
    <w:bookmarkEnd w:id="44"/>
    <w:bookmarkEnd w:id="45"/>
    <w:bookmarkEnd w:id="69"/>
    <w:bookmarkEnd w:id="70"/>
    <w:bookmarkEnd w:id="71"/>
    <w:bookmarkEnd w:id="72"/>
    <w:bookmarkEnd w:id="73"/>
    <w:bookmarkEnd w:id="74"/>
    <w:bookmarkEnd w:id="75"/>
    <w:bookmarkEnd w:id="76"/>
    <w:bookmarkEnd w:id="77"/>
    <w:p>
      <w:pPr>
        <w:spacing w:line="540" w:lineRule="exact"/>
        <w:ind w:firstLine="560" w:firstLineChars="200"/>
        <w:rPr>
          <w:rFonts w:hint="eastAsia" w:ascii="仿宋_GB2312" w:hAnsi="仿宋_GB2312" w:eastAsia="仿宋_GB2312" w:cs="仿宋_GB2312"/>
          <w:sz w:val="28"/>
          <w:szCs w:val="24"/>
        </w:rPr>
      </w:pPr>
    </w:p>
    <w:p/>
    <w:p>
      <w:pP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pPr>
        <w:spacing w:line="480" w:lineRule="exact"/>
        <w:jc w:val="center"/>
        <w:outlineLvl w:val="3"/>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（三）比选申请人的信誉情况表</w:t>
      </w:r>
    </w:p>
    <w:p>
      <w:pPr>
        <w:pStyle w:val="14"/>
        <w:spacing w:before="7"/>
        <w:rPr>
          <w:rFonts w:hint="eastAsia" w:ascii="宋体" w:hAnsi="宋体"/>
          <w:b/>
          <w:sz w:val="6"/>
        </w:rPr>
      </w:pPr>
    </w:p>
    <w:tbl>
      <w:tblPr>
        <w:tblStyle w:val="31"/>
        <w:tblpPr w:leftFromText="180" w:rightFromText="180" w:vertAnchor="text" w:horzAnchor="page" w:tblpX="1458" w:tblpY="260"/>
        <w:tblOverlap w:val="never"/>
        <w:tblW w:w="0" w:type="auto"/>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17"/>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391" w:hRule="atLeast"/>
        </w:trPr>
        <w:tc>
          <w:tcPr>
            <w:tcW w:w="9517" w:type="dxa"/>
          </w:tcPr>
          <w:p>
            <w:pPr>
              <w:spacing w:line="360" w:lineRule="auto"/>
              <w:ind w:firstLine="420"/>
              <w:rPr>
                <w:rFonts w:cs="仿宋" w:asciiTheme="minorEastAsia" w:hAnsiTheme="minorEastAsia" w:eastAsiaTheme="minorEastAsia"/>
              </w:rPr>
            </w:pPr>
            <w:r>
              <w:rPr>
                <w:rFonts w:hint="eastAsia" w:cs="仿宋" w:asciiTheme="minorEastAsia" w:hAnsiTheme="minorEastAsia" w:eastAsiaTheme="minorEastAsia"/>
              </w:rPr>
              <w:t>在此附上：</w:t>
            </w:r>
          </w:p>
          <w:p>
            <w:pPr>
              <w:spacing w:line="360" w:lineRule="auto"/>
              <w:ind w:firstLine="420"/>
              <w:rPr>
                <w:rFonts w:cs="仿宋" w:asciiTheme="minorEastAsia" w:hAnsiTheme="minorEastAsia" w:eastAsiaTheme="minorEastAsia"/>
              </w:rPr>
            </w:pPr>
          </w:p>
          <w:p>
            <w:pPr>
              <w:spacing w:line="360" w:lineRule="auto"/>
              <w:ind w:firstLine="420"/>
              <w:rPr>
                <w:rFonts w:cs="仿宋" w:asciiTheme="minorEastAsia" w:hAnsiTheme="minorEastAsia" w:eastAsiaTheme="minorEastAsia"/>
              </w:rPr>
            </w:pPr>
            <w:r>
              <w:rPr>
                <w:rFonts w:hint="eastAsia" w:cs="仿宋" w:asciiTheme="minorEastAsia" w:hAnsiTheme="minorEastAsia" w:eastAsiaTheme="minorEastAsia"/>
              </w:rPr>
              <w:t>（1）截至比选申请文件递交截止时间，在“信用中国”网站（www.creditchina.gov.cn）、中国执行</w:t>
            </w:r>
            <w:r>
              <w:fldChar w:fldCharType="begin"/>
            </w:r>
            <w:r>
              <w:instrText xml:space="preserve"> HYPERLINK "http://zxgk.court.gov.cn/shixin/" </w:instrText>
            </w:r>
            <w:r>
              <w:fldChar w:fldCharType="separate"/>
            </w:r>
            <w:r>
              <w:rPr>
                <w:rFonts w:hint="eastAsia" w:cs="仿宋" w:asciiTheme="minorEastAsia" w:hAnsiTheme="minorEastAsia" w:eastAsiaTheme="minorEastAsia"/>
              </w:rPr>
              <w:t>信息公开网（https://zxgk.court.gov.cn/shixin/）</w:t>
            </w:r>
            <w:r>
              <w:rPr>
                <w:rFonts w:hint="eastAsia" w:cs="仿宋" w:asciiTheme="minorEastAsia" w:hAnsiTheme="minorEastAsia" w:eastAsiaTheme="minorEastAsia"/>
              </w:rPr>
              <w:fldChar w:fldCharType="end"/>
            </w:r>
            <w:r>
              <w:rPr>
                <w:rFonts w:hint="eastAsia" w:cs="仿宋" w:asciiTheme="minorEastAsia" w:hAnsiTheme="minorEastAsia" w:eastAsiaTheme="minorEastAsia"/>
              </w:rPr>
              <w:t>中查询未被列入失信被执行人名单（通过”信用中国“查询”失信被执行人“链接”中国执行信息公开网(</w:t>
            </w:r>
            <w:r>
              <w:fldChar w:fldCharType="begin"/>
            </w:r>
            <w:r>
              <w:instrText xml:space="preserve"> HYPERLINK "http://zxgk.court.gov.cn/shixin/" </w:instrText>
            </w:r>
            <w:r>
              <w:fldChar w:fldCharType="separate"/>
            </w:r>
            <w:r>
              <w:rPr>
                <w:rFonts w:hint="eastAsia" w:cs="仿宋" w:asciiTheme="minorEastAsia" w:hAnsiTheme="minorEastAsia" w:eastAsiaTheme="minorEastAsia"/>
              </w:rPr>
              <w:t>https://zxgk.court.gov.cn/shixin/）</w:t>
            </w:r>
            <w:r>
              <w:rPr>
                <w:rFonts w:hint="eastAsia" w:cs="仿宋" w:asciiTheme="minorEastAsia" w:hAnsiTheme="minorEastAsia" w:eastAsiaTheme="minorEastAsia"/>
              </w:rPr>
              <w:fldChar w:fldCharType="end"/>
            </w:r>
            <w:r>
              <w:rPr>
                <w:rFonts w:hint="eastAsia" w:cs="仿宋" w:asciiTheme="minorEastAsia" w:hAnsiTheme="minorEastAsia" w:eastAsiaTheme="minorEastAsia"/>
              </w:rPr>
              <w:t>”的结果）。</w:t>
            </w:r>
          </w:p>
          <w:p>
            <w:pPr>
              <w:spacing w:line="360" w:lineRule="auto"/>
              <w:ind w:firstLine="420"/>
              <w:rPr>
                <w:rFonts w:cs="仿宋" w:asciiTheme="minorEastAsia" w:hAnsiTheme="minorEastAsia" w:eastAsiaTheme="minorEastAsia"/>
              </w:rPr>
            </w:pPr>
            <w:r>
              <w:rPr>
                <w:rFonts w:hint="eastAsia" w:cs="仿宋" w:asciiTheme="minorEastAsia" w:hAnsiTheme="minorEastAsia" w:eastAsiaTheme="minorEastAsia"/>
              </w:rPr>
              <w:t>（2）截至比选申请文件递交截止时间，在“国家企业信用信息公示系统”（www.gsxt.gov.cn）中查询未被列入严重违法失信企业名单的结果。</w:t>
            </w:r>
          </w:p>
          <w:p>
            <w:pPr>
              <w:spacing w:line="360" w:lineRule="auto"/>
              <w:ind w:firstLine="420"/>
              <w:rPr>
                <w:rFonts w:cs="仿宋" w:asciiTheme="minorEastAsia" w:hAnsiTheme="minorEastAsia" w:eastAsiaTheme="minorEastAsia"/>
              </w:rPr>
            </w:pPr>
            <w:r>
              <w:rPr>
                <w:rFonts w:hint="eastAsia" w:cs="仿宋" w:asciiTheme="minorEastAsia" w:hAnsiTheme="minorEastAsia" w:eastAsiaTheme="minorEastAsia"/>
              </w:rPr>
              <w:t>（1）、（2）项比选申请人应提供相应网站查询结果网页截图。</w:t>
            </w:r>
          </w:p>
          <w:p>
            <w:pPr>
              <w:spacing w:line="360" w:lineRule="auto"/>
              <w:ind w:firstLine="420"/>
              <w:rPr>
                <w:rFonts w:hint="eastAsia" w:cs="仿宋" w:asciiTheme="minorEastAsia" w:hAnsiTheme="minorEastAsia" w:eastAsiaTheme="minorEastAsia"/>
                <w:spacing w:val="-3"/>
                <w:lang w:eastAsia="zh-CN"/>
              </w:rPr>
            </w:pPr>
            <w:r>
              <w:rPr>
                <w:rFonts w:hint="eastAsia" w:cs="仿宋" w:asciiTheme="minorEastAsia" w:hAnsiTheme="minorEastAsia" w:eastAsiaTheme="minorEastAsia"/>
              </w:rPr>
              <w:t>比选申请人（单位）、其法定代表人和项目负责人自2022年1月1日至今没有被人民法院生效判决为行贿犯罪（比选申请人须提交无行贿犯罪的承诺函，承诺函格式附后）</w:t>
            </w:r>
          </w:p>
        </w:tc>
      </w:tr>
    </w:tbl>
    <w:p>
      <w:pPr>
        <w:jc w:val="center"/>
        <w:rPr>
          <w:rFonts w:hint="eastAsia" w:ascii="宋体" w:hAnsi="宋体"/>
          <w:b/>
          <w:bCs/>
          <w:sz w:val="32"/>
          <w:szCs w:val="32"/>
        </w:rPr>
      </w:pPr>
    </w:p>
    <w:p>
      <w:pPr>
        <w:spacing w:line="360" w:lineRule="auto"/>
        <w:jc w:val="center"/>
        <w:rPr>
          <w:rFonts w:hint="eastAsia" w:ascii="宋体" w:hAnsi="宋体"/>
          <w:b/>
          <w:sz w:val="32"/>
          <w:szCs w:val="32"/>
        </w:rPr>
      </w:pPr>
    </w:p>
    <w:p>
      <w:pPr>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br w:type="page"/>
      </w:r>
    </w:p>
    <w:p>
      <w:pPr>
        <w:spacing w:line="480" w:lineRule="exact"/>
        <w:jc w:val="center"/>
        <w:outlineLvl w:val="3"/>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（四）无行贿犯罪的承诺函</w:t>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p>
    <w:p>
      <w:pPr>
        <w:adjustRightInd w:val="0"/>
        <w:snapToGrid w:val="0"/>
        <w:spacing w:line="360" w:lineRule="auto"/>
        <w:rPr>
          <w:rFonts w:hint="eastAsia" w:ascii="宋体" w:hAnsi="宋体" w:cs="宋体"/>
          <w:szCs w:val="21"/>
        </w:rPr>
      </w:pPr>
      <w:r>
        <w:rPr>
          <w:rFonts w:ascii="宋体" w:hAnsi="宋体" w:cs="宋体"/>
          <w:szCs w:val="21"/>
          <w:u w:val="single"/>
        </w:rPr>
        <w:t xml:space="preserve">   （</w:t>
      </w:r>
      <w:r>
        <w:rPr>
          <w:rFonts w:hint="eastAsia" w:ascii="宋体" w:hAnsi="宋体" w:cs="宋体"/>
          <w:szCs w:val="21"/>
          <w:u w:val="single"/>
        </w:rPr>
        <w:t>比选人名称）</w:t>
      </w:r>
      <w:r>
        <w:rPr>
          <w:rFonts w:hint="eastAsia" w:ascii="宋体" w:hAnsi="宋体" w:cs="宋体"/>
          <w:szCs w:val="21"/>
        </w:rPr>
        <w:t>：</w:t>
      </w:r>
    </w:p>
    <w:p>
      <w:pPr>
        <w:adjustRightInd w:val="0"/>
        <w:snapToGrid w:val="0"/>
        <w:spacing w:line="360" w:lineRule="auto"/>
        <w:rPr>
          <w:rFonts w:hint="eastAsia" w:ascii="宋体" w:hAnsi="宋体" w:cs="宋体"/>
          <w:szCs w:val="21"/>
        </w:rPr>
      </w:pPr>
    </w:p>
    <w:p>
      <w:pPr>
        <w:adjustRightInd w:val="0"/>
        <w:snapToGrid w:val="0"/>
        <w:spacing w:line="360" w:lineRule="auto"/>
        <w:ind w:firstLine="420" w:firstLineChars="200"/>
        <w:rPr>
          <w:rFonts w:hint="eastAsia" w:ascii="宋体" w:hAnsi="宋体"/>
          <w:b/>
          <w:bCs/>
          <w:szCs w:val="21"/>
        </w:rPr>
      </w:pPr>
      <w:r>
        <w:rPr>
          <w:rFonts w:hint="eastAsia" w:ascii="宋体" w:hAnsi="宋体" w:cs="宋体"/>
          <w:szCs w:val="21"/>
        </w:rPr>
        <w:t>我公司</w:t>
      </w:r>
      <w:r>
        <w:rPr>
          <w:rFonts w:ascii="宋体" w:hAnsi="宋体" w:cs="宋体"/>
          <w:szCs w:val="21"/>
          <w:u w:val="single"/>
        </w:rPr>
        <w:t xml:space="preserve">   （</w:t>
      </w:r>
      <w:r>
        <w:rPr>
          <w:rFonts w:hint="eastAsia" w:ascii="宋体" w:hAnsi="宋体" w:cs="宋体"/>
          <w:szCs w:val="21"/>
          <w:u w:val="single"/>
        </w:rPr>
        <w:t>申请人名称）</w:t>
      </w:r>
      <w:r>
        <w:rPr>
          <w:rFonts w:hint="eastAsia" w:ascii="宋体" w:hAnsi="宋体" w:cs="宋体"/>
          <w:szCs w:val="21"/>
        </w:rPr>
        <w:t>、负责人</w:t>
      </w:r>
      <w:r>
        <w:rPr>
          <w:rFonts w:ascii="宋体" w:hAnsi="宋体" w:cs="宋体"/>
          <w:szCs w:val="21"/>
          <w:u w:val="single"/>
        </w:rPr>
        <w:t xml:space="preserve">  （姓名）   ）</w:t>
      </w:r>
      <w:r>
        <w:rPr>
          <w:rFonts w:hint="eastAsia" w:ascii="宋体" w:hAnsi="宋体" w:cs="宋体"/>
          <w:szCs w:val="21"/>
        </w:rPr>
        <w:t>、项目负责人</w:t>
      </w:r>
      <w:r>
        <w:rPr>
          <w:rFonts w:hint="eastAsia" w:ascii="宋体" w:hAnsi="宋体" w:cs="宋体"/>
          <w:szCs w:val="21"/>
          <w:u w:val="single"/>
        </w:rPr>
        <w:t>（  姓名    ）</w:t>
      </w:r>
      <w:r>
        <w:rPr>
          <w:rFonts w:hint="eastAsia" w:ascii="宋体" w:hAnsi="宋体" w:cs="宋体"/>
          <w:szCs w:val="21"/>
        </w:rPr>
        <w:t>在</w:t>
      </w:r>
      <w:r>
        <w:rPr>
          <w:rFonts w:hint="eastAsia" w:ascii="宋体" w:hAnsi="宋体" w:cs="宋体"/>
          <w:szCs w:val="21"/>
          <w:u w:val="single"/>
        </w:rPr>
        <w:t>2022年1月1日</w:t>
      </w:r>
      <w:r>
        <w:rPr>
          <w:rFonts w:hint="eastAsia" w:ascii="宋体" w:hAnsi="宋体" w:cs="宋体"/>
          <w:szCs w:val="21"/>
        </w:rPr>
        <w:t>至本项目比选截止日期间，没有被人民法院生效判决或裁定认定行贿犯罪（包括行贿罪、单位行贿罪、对单位行贿罪、介绍贿赂罪等）。若在合同协议书签订之前发现我单位或承诺人员在上述期间存在行贿犯罪的，可取消我单位中选候选人或中选人资格。若在合同执行期间发现我单位或承诺人员在上述期间存在行贿犯罪的，可从合同款中扣除签约合同价的</w:t>
      </w:r>
      <w:r>
        <w:rPr>
          <w:rFonts w:ascii="宋体" w:hAnsi="宋体" w:cs="宋体"/>
          <w:szCs w:val="21"/>
          <w:u w:val="single"/>
        </w:rPr>
        <w:t>5%</w:t>
      </w:r>
      <w:r>
        <w:rPr>
          <w:rFonts w:hint="eastAsia" w:ascii="宋体" w:hAnsi="宋体" w:cs="宋体"/>
          <w:szCs w:val="21"/>
        </w:rPr>
        <w:t>作为违约金。</w:t>
      </w:r>
    </w:p>
    <w:p>
      <w:pPr>
        <w:spacing w:line="360" w:lineRule="auto"/>
        <w:ind w:firstLine="420" w:firstLineChars="200"/>
        <w:rPr>
          <w:rFonts w:hint="eastAsia" w:asciiTheme="minorEastAsia" w:hAnsiTheme="minorEastAsia"/>
          <w:szCs w:val="21"/>
        </w:rPr>
      </w:pPr>
      <w:r>
        <w:rPr>
          <w:rFonts w:hint="eastAsia" w:asciiTheme="minorEastAsia" w:hAnsiTheme="minorEastAsia"/>
          <w:szCs w:val="21"/>
        </w:rPr>
        <w:t>特此承诺。</w:t>
      </w:r>
    </w:p>
    <w:p>
      <w:pPr>
        <w:spacing w:line="460" w:lineRule="exact"/>
        <w:ind w:firstLine="420" w:firstLineChars="200"/>
        <w:rPr>
          <w:rFonts w:hint="eastAsia" w:cs="仿宋" w:asciiTheme="minorEastAsia" w:hAnsiTheme="minorEastAsia"/>
          <w:szCs w:val="21"/>
        </w:rPr>
      </w:pPr>
    </w:p>
    <w:p>
      <w:pPr>
        <w:spacing w:line="460" w:lineRule="exact"/>
        <w:ind w:firstLine="3570" w:firstLineChars="1700"/>
        <w:rPr>
          <w:rFonts w:hint="eastAsia" w:asciiTheme="minorEastAsia" w:hAnsiTheme="minorEastAsia"/>
          <w:szCs w:val="21"/>
        </w:rPr>
      </w:pPr>
      <w:r>
        <w:rPr>
          <w:rFonts w:hint="eastAsia" w:asciiTheme="minorEastAsia" w:hAnsiTheme="minorEastAsia"/>
          <w:szCs w:val="21"/>
        </w:rPr>
        <w:t>申请人：（盖单位章）</w:t>
      </w:r>
    </w:p>
    <w:p>
      <w:pPr>
        <w:spacing w:line="460" w:lineRule="exact"/>
        <w:ind w:firstLine="4410" w:firstLineChars="2100"/>
        <w:rPr>
          <w:rFonts w:hint="eastAsia" w:asciiTheme="minorEastAsia" w:hAnsiTheme="minorEastAsia"/>
          <w:szCs w:val="21"/>
        </w:rPr>
      </w:pPr>
    </w:p>
    <w:p>
      <w:pPr>
        <w:spacing w:line="460" w:lineRule="exact"/>
        <w:ind w:firstLine="420" w:firstLineChars="200"/>
        <w:jc w:val="left"/>
        <w:rPr>
          <w:rFonts w:hint="eastAsia" w:asciiTheme="minorEastAsia" w:hAnsiTheme="minorEastAsia"/>
          <w:szCs w:val="21"/>
          <w:u w:val="single"/>
        </w:rPr>
      </w:pPr>
      <w:r>
        <w:rPr>
          <w:rFonts w:hint="eastAsia" w:asciiTheme="minorEastAsia" w:hAnsiTheme="minorEastAsia"/>
          <w:szCs w:val="21"/>
        </w:rPr>
        <w:t xml:space="preserve">                          法人代表人或其委托代理人：（签字）</w:t>
      </w:r>
    </w:p>
    <w:p>
      <w:pPr>
        <w:spacing w:line="360" w:lineRule="auto"/>
        <w:rPr>
          <w:rFonts w:hint="eastAsia" w:asciiTheme="minorEastAsia" w:hAnsiTheme="minorEastAsia"/>
          <w:bCs/>
          <w:szCs w:val="21"/>
        </w:rPr>
      </w:pPr>
    </w:p>
    <w:p>
      <w:pPr>
        <w:spacing w:line="360" w:lineRule="auto"/>
        <w:ind w:firstLine="3570" w:firstLineChars="1700"/>
        <w:rPr>
          <w:rFonts w:hint="eastAsia" w:asciiTheme="minorEastAsia" w:hAnsiTheme="minorEastAsia"/>
          <w:bCs/>
          <w:szCs w:val="21"/>
        </w:rPr>
      </w:pPr>
      <w:r>
        <w:rPr>
          <w:rFonts w:hint="eastAsia" w:asciiTheme="minorEastAsia" w:hAnsiTheme="minorEastAsia"/>
          <w:bCs/>
          <w:szCs w:val="21"/>
        </w:rPr>
        <w:t xml:space="preserve">  年     月      日</w:t>
      </w:r>
    </w:p>
    <w:p>
      <w:pPr>
        <w:jc w:val="center"/>
        <w:rPr>
          <w:rFonts w:hint="eastAsia" w:ascii="宋体" w:hAnsi="宋体"/>
          <w:b/>
          <w:bCs/>
          <w:sz w:val="32"/>
          <w:szCs w:val="32"/>
        </w:rPr>
      </w:pPr>
    </w:p>
    <w:p>
      <w:pPr>
        <w:jc w:val="center"/>
        <w:rPr>
          <w:rFonts w:hint="eastAsia" w:ascii="宋体" w:hAnsi="宋体"/>
          <w:b/>
          <w:bCs/>
          <w:sz w:val="32"/>
          <w:szCs w:val="32"/>
        </w:rPr>
      </w:pPr>
    </w:p>
    <w:p>
      <w:pPr>
        <w:jc w:val="center"/>
        <w:rPr>
          <w:rFonts w:hint="eastAsia" w:ascii="宋体" w:hAnsi="宋体"/>
          <w:b/>
          <w:bCs/>
          <w:sz w:val="32"/>
          <w:szCs w:val="32"/>
        </w:rPr>
      </w:pPr>
    </w:p>
    <w:p>
      <w:pPr>
        <w:jc w:val="center"/>
        <w:rPr>
          <w:rFonts w:hint="eastAsia" w:ascii="宋体" w:hAnsi="宋体"/>
          <w:b/>
          <w:bCs/>
          <w:sz w:val="32"/>
          <w:szCs w:val="32"/>
        </w:rPr>
      </w:pPr>
    </w:p>
    <w:p>
      <w:pPr>
        <w:jc w:val="center"/>
        <w:rPr>
          <w:rFonts w:hint="eastAsia" w:ascii="宋体" w:hAnsi="宋体"/>
          <w:b/>
          <w:bCs/>
          <w:sz w:val="32"/>
          <w:szCs w:val="32"/>
        </w:rPr>
      </w:pPr>
    </w:p>
    <w:p>
      <w:pPr>
        <w:jc w:val="center"/>
        <w:rPr>
          <w:rFonts w:hint="eastAsia" w:ascii="宋体" w:hAnsi="宋体"/>
          <w:b/>
          <w:bCs/>
          <w:sz w:val="32"/>
          <w:szCs w:val="32"/>
        </w:rPr>
      </w:pPr>
    </w:p>
    <w:p>
      <w:pPr>
        <w:jc w:val="center"/>
        <w:rPr>
          <w:rFonts w:hint="eastAsia" w:ascii="宋体" w:hAnsi="宋体"/>
          <w:b/>
          <w:bCs/>
          <w:sz w:val="32"/>
          <w:szCs w:val="32"/>
        </w:rPr>
      </w:pPr>
    </w:p>
    <w:p>
      <w:pPr>
        <w:jc w:val="center"/>
        <w:rPr>
          <w:rFonts w:hint="eastAsia" w:ascii="宋体" w:hAnsi="宋体"/>
          <w:b/>
          <w:bCs/>
          <w:sz w:val="32"/>
          <w:szCs w:val="32"/>
        </w:rPr>
      </w:pPr>
    </w:p>
    <w:p>
      <w:pPr>
        <w:jc w:val="center"/>
        <w:rPr>
          <w:rFonts w:hint="eastAsia" w:ascii="宋体" w:hAnsi="宋体"/>
          <w:b/>
          <w:bCs/>
          <w:sz w:val="32"/>
          <w:szCs w:val="32"/>
        </w:rPr>
      </w:pPr>
    </w:p>
    <w:p>
      <w:pPr>
        <w:pStyle w:val="2"/>
        <w:ind w:firstLine="643"/>
        <w:rPr>
          <w:rFonts w:hint="eastAsia" w:ascii="宋体" w:hAnsi="宋体"/>
          <w:b/>
          <w:bCs/>
          <w:sz w:val="32"/>
          <w:szCs w:val="32"/>
        </w:rPr>
      </w:pPr>
    </w:p>
    <w:p>
      <w:pPr>
        <w:rPr>
          <w:rFonts w:hint="eastAsia" w:ascii="宋体" w:hAnsi="宋体"/>
          <w:b/>
          <w:bCs/>
          <w:sz w:val="32"/>
          <w:szCs w:val="32"/>
        </w:rPr>
      </w:pPr>
    </w:p>
    <w:p>
      <w:pPr>
        <w:pStyle w:val="2"/>
        <w:ind w:firstLine="643"/>
        <w:rPr>
          <w:rFonts w:hint="eastAsia" w:ascii="宋体" w:hAnsi="宋体"/>
          <w:b/>
          <w:bCs/>
          <w:sz w:val="32"/>
          <w:szCs w:val="32"/>
        </w:rPr>
      </w:pPr>
    </w:p>
    <w:p>
      <w:pPr>
        <w:rPr>
          <w:rFonts w:hint="eastAsia" w:ascii="宋体" w:hAnsi="宋体"/>
          <w:b/>
          <w:bCs/>
          <w:sz w:val="32"/>
          <w:szCs w:val="32"/>
        </w:rPr>
      </w:pPr>
    </w:p>
    <w:p>
      <w:pPr>
        <w:pStyle w:val="2"/>
        <w:ind w:firstLine="480"/>
      </w:pPr>
    </w:p>
    <w:p>
      <w:pPr>
        <w:jc w:val="center"/>
        <w:rPr>
          <w:rFonts w:hint="eastAsia" w:ascii="宋体" w:hAnsi="宋体"/>
          <w:b/>
          <w:bCs/>
          <w:sz w:val="32"/>
          <w:szCs w:val="32"/>
        </w:rPr>
      </w:pPr>
    </w:p>
    <w:p>
      <w:pPr>
        <w:spacing w:line="600" w:lineRule="exact"/>
        <w:jc w:val="center"/>
        <w:outlineLvl w:val="2"/>
        <w:rPr>
          <w:rFonts w:hint="eastAsia" w:ascii="仿宋_GB2312" w:hAnsi="仿宋_GB2312" w:eastAsia="仿宋_GB2312" w:cs="仿宋_GB2312"/>
          <w:b/>
          <w:bCs/>
          <w:sz w:val="28"/>
          <w:szCs w:val="24"/>
        </w:rPr>
      </w:pPr>
      <w:r>
        <w:rPr>
          <w:rFonts w:hint="eastAsia" w:ascii="仿宋_GB2312" w:hAnsi="仿宋_GB2312" w:eastAsia="仿宋_GB2312" w:cs="仿宋_GB2312"/>
          <w:b/>
          <w:bCs/>
          <w:sz w:val="28"/>
          <w:szCs w:val="24"/>
        </w:rPr>
        <w:t>四、项目组人员配置及要求</w:t>
      </w:r>
    </w:p>
    <w:p>
      <w:pPr>
        <w:spacing w:line="4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项目负责人简历</w:t>
      </w:r>
    </w:p>
    <w:tbl>
      <w:tblPr>
        <w:tblStyle w:val="31"/>
        <w:tblW w:w="87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2"/>
        <w:gridCol w:w="1236"/>
        <w:gridCol w:w="850"/>
        <w:gridCol w:w="38"/>
        <w:gridCol w:w="1859"/>
        <w:gridCol w:w="983"/>
        <w:gridCol w:w="836"/>
        <w:gridCol w:w="9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jc w:val="center"/>
        </w:trPr>
        <w:tc>
          <w:tcPr>
            <w:tcW w:w="1932" w:type="dxa"/>
            <w:vAlign w:val="center"/>
          </w:tcPr>
          <w:p>
            <w:pPr>
              <w:pStyle w:val="41"/>
              <w:framePr w:hSpace="0" w:wrap="auto" w:vAnchor="margin" w:hAnchor="text" w:xAlign="left" w:yAlign="inline"/>
              <w:spacing w:line="480" w:lineRule="exact"/>
              <w:jc w:val="center"/>
              <w:rPr>
                <w:rFonts w:hint="eastAsia"/>
              </w:rPr>
            </w:pPr>
            <w:r>
              <w:rPr>
                <w:rFonts w:hint="eastAsia"/>
              </w:rPr>
              <w:t>姓</w:t>
            </w:r>
            <w:r>
              <w:rPr>
                <w:rFonts w:hint="eastAsia"/>
              </w:rPr>
              <w:tab/>
            </w:r>
            <w:r>
              <w:rPr>
                <w:rFonts w:hint="eastAsia"/>
              </w:rPr>
              <w:t>名</w:t>
            </w:r>
          </w:p>
        </w:tc>
        <w:tc>
          <w:tcPr>
            <w:tcW w:w="1236" w:type="dxa"/>
            <w:vAlign w:val="center"/>
          </w:tcPr>
          <w:p>
            <w:pPr>
              <w:pStyle w:val="41"/>
              <w:framePr w:hSpace="0" w:wrap="auto" w:vAnchor="margin" w:hAnchor="text" w:xAlign="left" w:yAlign="inline"/>
              <w:spacing w:line="480" w:lineRule="exact"/>
              <w:jc w:val="center"/>
              <w:rPr>
                <w:rFonts w:hint="eastAsia"/>
              </w:rPr>
            </w:pPr>
          </w:p>
        </w:tc>
        <w:tc>
          <w:tcPr>
            <w:tcW w:w="888" w:type="dxa"/>
            <w:gridSpan w:val="2"/>
            <w:vAlign w:val="center"/>
          </w:tcPr>
          <w:p>
            <w:pPr>
              <w:pStyle w:val="41"/>
              <w:framePr w:hSpace="0" w:wrap="auto" w:vAnchor="margin" w:hAnchor="text" w:xAlign="left" w:yAlign="inline"/>
              <w:spacing w:line="480" w:lineRule="exact"/>
              <w:jc w:val="center"/>
              <w:rPr>
                <w:rFonts w:hint="eastAsia"/>
              </w:rPr>
            </w:pPr>
            <w:r>
              <w:rPr>
                <w:rFonts w:hint="eastAsia"/>
              </w:rPr>
              <w:t>年龄</w:t>
            </w:r>
          </w:p>
        </w:tc>
        <w:tc>
          <w:tcPr>
            <w:tcW w:w="1859" w:type="dxa"/>
            <w:vAlign w:val="center"/>
          </w:tcPr>
          <w:p>
            <w:pPr>
              <w:pStyle w:val="41"/>
              <w:framePr w:hSpace="0" w:wrap="auto" w:vAnchor="margin" w:hAnchor="text" w:xAlign="left" w:yAlign="inline"/>
              <w:spacing w:line="480" w:lineRule="exact"/>
              <w:jc w:val="center"/>
              <w:rPr>
                <w:rFonts w:hint="eastAsia"/>
              </w:rPr>
            </w:pPr>
          </w:p>
        </w:tc>
        <w:tc>
          <w:tcPr>
            <w:tcW w:w="1819" w:type="dxa"/>
            <w:gridSpan w:val="2"/>
            <w:vAlign w:val="center"/>
          </w:tcPr>
          <w:p>
            <w:pPr>
              <w:pStyle w:val="41"/>
              <w:framePr w:hSpace="0" w:wrap="auto" w:vAnchor="margin" w:hAnchor="text" w:xAlign="left" w:yAlign="inline"/>
              <w:spacing w:line="480" w:lineRule="exact"/>
              <w:jc w:val="center"/>
              <w:rPr>
                <w:rFonts w:hint="eastAsia"/>
              </w:rPr>
            </w:pPr>
            <w:r>
              <w:rPr>
                <w:rFonts w:hint="eastAsia"/>
              </w:rPr>
              <w:t>专</w:t>
            </w:r>
            <w:r>
              <w:rPr>
                <w:rFonts w:hint="eastAsia"/>
              </w:rPr>
              <w:tab/>
            </w:r>
            <w:r>
              <w:rPr>
                <w:rFonts w:hint="eastAsia"/>
              </w:rPr>
              <w:t>业</w:t>
            </w:r>
          </w:p>
        </w:tc>
        <w:tc>
          <w:tcPr>
            <w:tcW w:w="983" w:type="dxa"/>
            <w:vAlign w:val="center"/>
          </w:tcPr>
          <w:p>
            <w:pPr>
              <w:pStyle w:val="41"/>
              <w:framePr w:hSpace="0" w:wrap="auto" w:vAnchor="margin" w:hAnchor="text" w:xAlign="left" w:yAlign="inline"/>
              <w:spacing w:line="480" w:lineRule="exact"/>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jc w:val="center"/>
        </w:trPr>
        <w:tc>
          <w:tcPr>
            <w:tcW w:w="1932" w:type="dxa"/>
            <w:vAlign w:val="center"/>
          </w:tcPr>
          <w:p>
            <w:pPr>
              <w:pStyle w:val="41"/>
              <w:framePr w:hSpace="0" w:wrap="auto" w:vAnchor="margin" w:hAnchor="text" w:xAlign="left" w:yAlign="inline"/>
              <w:jc w:val="center"/>
              <w:rPr>
                <w:rFonts w:hint="eastAsia"/>
              </w:rPr>
            </w:pPr>
            <w:r>
              <w:rPr>
                <w:rFonts w:hint="eastAsia"/>
              </w:rPr>
              <w:t>职</w:t>
            </w:r>
            <w:r>
              <w:rPr>
                <w:rFonts w:hint="eastAsia"/>
              </w:rPr>
              <w:tab/>
            </w:r>
            <w:r>
              <w:rPr>
                <w:rFonts w:hint="eastAsia"/>
              </w:rPr>
              <w:t>称</w:t>
            </w:r>
          </w:p>
        </w:tc>
        <w:tc>
          <w:tcPr>
            <w:tcW w:w="1236" w:type="dxa"/>
            <w:vAlign w:val="center"/>
          </w:tcPr>
          <w:p>
            <w:pPr>
              <w:pStyle w:val="41"/>
              <w:framePr w:hSpace="0" w:wrap="auto" w:vAnchor="margin" w:hAnchor="text" w:xAlign="left" w:yAlign="inline"/>
              <w:jc w:val="center"/>
              <w:rPr>
                <w:rFonts w:hint="eastAsia"/>
              </w:rPr>
            </w:pPr>
          </w:p>
        </w:tc>
        <w:tc>
          <w:tcPr>
            <w:tcW w:w="888" w:type="dxa"/>
            <w:gridSpan w:val="2"/>
            <w:vAlign w:val="center"/>
          </w:tcPr>
          <w:p>
            <w:pPr>
              <w:pStyle w:val="41"/>
              <w:framePr w:hSpace="0" w:wrap="auto" w:vAnchor="margin" w:hAnchor="text" w:xAlign="left" w:yAlign="inline"/>
              <w:jc w:val="center"/>
              <w:rPr>
                <w:rFonts w:hint="eastAsia"/>
              </w:rPr>
            </w:pPr>
            <w:r>
              <w:rPr>
                <w:rFonts w:hint="eastAsia"/>
              </w:rPr>
              <w:t>职务</w:t>
            </w:r>
          </w:p>
        </w:tc>
        <w:tc>
          <w:tcPr>
            <w:tcW w:w="1859" w:type="dxa"/>
            <w:vAlign w:val="center"/>
          </w:tcPr>
          <w:p>
            <w:pPr>
              <w:pStyle w:val="41"/>
              <w:framePr w:hSpace="0" w:wrap="auto" w:vAnchor="margin" w:hAnchor="text" w:xAlign="left" w:yAlign="inline"/>
              <w:jc w:val="center"/>
              <w:rPr>
                <w:rFonts w:hint="eastAsia"/>
              </w:rPr>
            </w:pPr>
          </w:p>
        </w:tc>
        <w:tc>
          <w:tcPr>
            <w:tcW w:w="1819" w:type="dxa"/>
            <w:gridSpan w:val="2"/>
            <w:vAlign w:val="center"/>
          </w:tcPr>
          <w:p>
            <w:pPr>
              <w:pStyle w:val="41"/>
              <w:framePr w:hSpace="0" w:wrap="auto" w:vAnchor="margin" w:hAnchor="text" w:xAlign="left" w:yAlign="inline"/>
              <w:jc w:val="center"/>
              <w:rPr>
                <w:rFonts w:hint="eastAsia"/>
              </w:rPr>
            </w:pPr>
            <w:r>
              <w:rPr>
                <w:rFonts w:hint="eastAsia"/>
              </w:rPr>
              <w:t>从事专业年限</w:t>
            </w:r>
          </w:p>
        </w:tc>
        <w:tc>
          <w:tcPr>
            <w:tcW w:w="983" w:type="dxa"/>
            <w:vAlign w:val="center"/>
          </w:tcPr>
          <w:p>
            <w:pPr>
              <w:pStyle w:val="41"/>
              <w:framePr w:hSpace="0" w:wrap="auto" w:vAnchor="margin" w:hAnchor="text" w:xAlign="left" w:yAlign="inline"/>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1932" w:type="dxa"/>
            <w:vAlign w:val="center"/>
          </w:tcPr>
          <w:p>
            <w:pPr>
              <w:pStyle w:val="41"/>
              <w:framePr w:hSpace="0" w:wrap="auto" w:vAnchor="margin" w:hAnchor="text" w:xAlign="left" w:yAlign="inline"/>
              <w:jc w:val="center"/>
              <w:rPr>
                <w:rFonts w:hint="eastAsia"/>
              </w:rPr>
            </w:pPr>
            <w:r>
              <w:rPr>
                <w:rFonts w:hint="eastAsia"/>
              </w:rPr>
              <w:t>毕业学校</w:t>
            </w:r>
          </w:p>
        </w:tc>
        <w:tc>
          <w:tcPr>
            <w:tcW w:w="6785" w:type="dxa"/>
            <w:gridSpan w:val="7"/>
            <w:vAlign w:val="center"/>
          </w:tcPr>
          <w:p>
            <w:pPr>
              <w:pStyle w:val="41"/>
              <w:framePr w:hSpace="0" w:wrap="auto" w:vAnchor="margin" w:hAnchor="text" w:xAlign="left" w:yAlign="inline"/>
              <w:jc w:val="center"/>
              <w:rPr>
                <w:rFonts w:hint="eastAsia"/>
              </w:rPr>
            </w:pPr>
            <w:r>
              <w:rPr>
                <w:rFonts w:hint="eastAsia"/>
              </w:rPr>
              <w:t>年</w:t>
            </w:r>
            <w:r>
              <w:rPr>
                <w:rFonts w:hint="eastAsia"/>
              </w:rPr>
              <w:tab/>
            </w:r>
            <w:r>
              <w:rPr>
                <w:rFonts w:hint="eastAsia"/>
                <w:spacing w:val="-3"/>
              </w:rPr>
              <w:t>月</w:t>
            </w:r>
            <w:r>
              <w:rPr>
                <w:rFonts w:hint="eastAsia"/>
              </w:rPr>
              <w:t>毕</w:t>
            </w:r>
            <w:r>
              <w:rPr>
                <w:rFonts w:hint="eastAsia"/>
                <w:spacing w:val="-3"/>
              </w:rPr>
              <w:t>业</w:t>
            </w:r>
            <w:r>
              <w:rPr>
                <w:rFonts w:hint="eastAsia"/>
              </w:rPr>
              <w:t>于</w:t>
            </w:r>
            <w:r>
              <w:rPr>
                <w:rFonts w:hint="eastAsia"/>
              </w:rPr>
              <w:tab/>
            </w:r>
            <w:r>
              <w:rPr>
                <w:rFonts w:hint="eastAsia"/>
              </w:rPr>
              <w:t>学校</w:t>
            </w:r>
            <w:r>
              <w:rPr>
                <w:rFonts w:hint="eastAsia"/>
              </w:rPr>
              <w:tab/>
            </w:r>
            <w:r>
              <w:rPr>
                <w:rFonts w:hint="eastAsia"/>
              </w:rPr>
              <w:t>系</w:t>
            </w:r>
            <w:r>
              <w:rPr>
                <w:rFonts w:hint="eastAsia"/>
                <w:spacing w:val="-3"/>
              </w:rPr>
              <w:t>（</w:t>
            </w:r>
            <w:r>
              <w:rPr>
                <w:rFonts w:hint="eastAsia"/>
              </w:rPr>
              <w:t>科</w:t>
            </w:r>
            <w:r>
              <w:rPr>
                <w:rFonts w:hint="eastAsia"/>
                <w:spacing w:val="-106"/>
              </w:rPr>
              <w:t>）</w:t>
            </w:r>
            <w:r>
              <w:rPr>
                <w:rFonts w:hint="eastAsia"/>
                <w:spacing w:val="-3"/>
              </w:rPr>
              <w:t>，</w:t>
            </w:r>
            <w:r>
              <w:rPr>
                <w:rFonts w:hint="eastAsia"/>
              </w:rPr>
              <w:t>学制</w:t>
            </w:r>
            <w:r>
              <w:rPr>
                <w:rFonts w:hint="eastAsia"/>
              </w:rPr>
              <w:tab/>
            </w:r>
            <w:r>
              <w:rPr>
                <w:rFonts w:hint="eastAsia"/>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7" w:hRule="atLeast"/>
          <w:jc w:val="center"/>
        </w:trPr>
        <w:tc>
          <w:tcPr>
            <w:tcW w:w="1932" w:type="dxa"/>
            <w:vAlign w:val="center"/>
          </w:tcPr>
          <w:p>
            <w:pPr>
              <w:pStyle w:val="41"/>
              <w:framePr w:hSpace="0" w:wrap="auto" w:vAnchor="margin" w:hAnchor="text" w:xAlign="left" w:yAlign="inline"/>
              <w:jc w:val="center"/>
              <w:rPr>
                <w:rFonts w:hint="eastAsia"/>
              </w:rPr>
            </w:pPr>
            <w:r>
              <w:rPr>
                <w:rFonts w:hint="eastAsia"/>
              </w:rPr>
              <w:t>身份证号</w:t>
            </w:r>
          </w:p>
        </w:tc>
        <w:tc>
          <w:tcPr>
            <w:tcW w:w="2124" w:type="dxa"/>
            <w:gridSpan w:val="3"/>
            <w:vAlign w:val="center"/>
          </w:tcPr>
          <w:p>
            <w:pPr>
              <w:pStyle w:val="41"/>
              <w:framePr w:hSpace="0" w:wrap="auto" w:vAnchor="margin" w:hAnchor="text" w:xAlign="left" w:yAlign="inline"/>
              <w:jc w:val="center"/>
              <w:rPr>
                <w:rFonts w:hint="eastAsia"/>
              </w:rPr>
            </w:pPr>
          </w:p>
        </w:tc>
        <w:tc>
          <w:tcPr>
            <w:tcW w:w="1859" w:type="dxa"/>
            <w:vAlign w:val="center"/>
          </w:tcPr>
          <w:p>
            <w:pPr>
              <w:pStyle w:val="41"/>
              <w:framePr w:hSpace="0" w:wrap="auto" w:vAnchor="margin" w:hAnchor="text" w:xAlign="left" w:yAlign="inline"/>
              <w:jc w:val="center"/>
              <w:rPr>
                <w:rFonts w:hint="eastAsia"/>
              </w:rPr>
            </w:pPr>
            <w:r>
              <w:rPr>
                <w:rFonts w:hint="eastAsia"/>
              </w:rPr>
              <w:t>拟在本合同任职</w:t>
            </w:r>
          </w:p>
        </w:tc>
        <w:tc>
          <w:tcPr>
            <w:tcW w:w="2802" w:type="dxa"/>
            <w:gridSpan w:val="3"/>
            <w:vAlign w:val="center"/>
          </w:tcPr>
          <w:p>
            <w:pPr>
              <w:pStyle w:val="41"/>
              <w:framePr w:hSpace="0" w:wrap="auto" w:vAnchor="margin" w:hAnchor="text" w:xAlign="left" w:yAlign="inline"/>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jc w:val="center"/>
        </w:trPr>
        <w:tc>
          <w:tcPr>
            <w:tcW w:w="1932" w:type="dxa"/>
            <w:vAlign w:val="center"/>
          </w:tcPr>
          <w:p>
            <w:pPr>
              <w:pStyle w:val="41"/>
              <w:framePr w:hSpace="0" w:wrap="auto" w:vAnchor="margin" w:hAnchor="text" w:xAlign="left" w:yAlign="inline"/>
              <w:jc w:val="center"/>
              <w:rPr>
                <w:rFonts w:hint="eastAsia"/>
              </w:rPr>
            </w:pPr>
            <w:r>
              <w:rPr>
                <w:rFonts w:hint="eastAsia"/>
              </w:rPr>
              <w:t>技术职称资格、资格证书和与</w:t>
            </w:r>
            <w:r>
              <w:rPr>
                <w:rFonts w:hint="eastAsia"/>
                <w:lang w:val="en-US" w:eastAsia="zh-CN"/>
              </w:rPr>
              <w:t>安全技术服务</w:t>
            </w:r>
            <w:r>
              <w:rPr>
                <w:rFonts w:hint="eastAsia"/>
              </w:rPr>
              <w:t>有关的资格情</w:t>
            </w:r>
            <w:r>
              <w:rPr>
                <w:rFonts w:hint="eastAsia"/>
                <w:spacing w:val="-63"/>
              </w:rPr>
              <w:t>况</w:t>
            </w:r>
            <w:r>
              <w:rPr>
                <w:rFonts w:hint="eastAsia"/>
                <w:spacing w:val="-3"/>
              </w:rPr>
              <w:t>（需附复印件</w:t>
            </w:r>
            <w:r>
              <w:rPr>
                <w:rFonts w:hint="eastAsia"/>
                <w:spacing w:val="-12"/>
              </w:rPr>
              <w:t>）</w:t>
            </w:r>
          </w:p>
        </w:tc>
        <w:tc>
          <w:tcPr>
            <w:tcW w:w="6785" w:type="dxa"/>
            <w:gridSpan w:val="7"/>
            <w:vAlign w:val="center"/>
          </w:tcPr>
          <w:p>
            <w:pPr>
              <w:pStyle w:val="41"/>
              <w:framePr w:hSpace="0" w:wrap="auto" w:vAnchor="margin" w:hAnchor="text" w:xAlign="left" w:yAlign="inline"/>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jc w:val="center"/>
        </w:trPr>
        <w:tc>
          <w:tcPr>
            <w:tcW w:w="1932" w:type="dxa"/>
            <w:vAlign w:val="center"/>
          </w:tcPr>
          <w:p>
            <w:pPr>
              <w:pStyle w:val="41"/>
              <w:framePr w:hSpace="0" w:wrap="auto" w:vAnchor="margin" w:hAnchor="text" w:xAlign="left" w:yAlign="inline"/>
              <w:jc w:val="center"/>
              <w:rPr>
                <w:rFonts w:hint="eastAsia"/>
              </w:rPr>
            </w:pPr>
            <w:r>
              <w:rPr>
                <w:rFonts w:hint="eastAsia"/>
              </w:rPr>
              <w:t>时间（年月）</w:t>
            </w:r>
          </w:p>
        </w:tc>
        <w:tc>
          <w:tcPr>
            <w:tcW w:w="2086" w:type="dxa"/>
            <w:gridSpan w:val="2"/>
            <w:tcBorders>
              <w:right w:val="single" w:color="auto" w:sz="4" w:space="0"/>
            </w:tcBorders>
            <w:vAlign w:val="center"/>
          </w:tcPr>
          <w:p>
            <w:pPr>
              <w:pStyle w:val="41"/>
              <w:framePr w:hSpace="0" w:wrap="auto" w:vAnchor="margin" w:hAnchor="text" w:xAlign="left" w:yAlign="inline"/>
              <w:jc w:val="center"/>
              <w:rPr>
                <w:rFonts w:hint="default" w:eastAsia="宋体"/>
                <w:lang w:val="en-US" w:eastAsia="zh-CN"/>
              </w:rPr>
            </w:pPr>
            <w:r>
              <w:rPr>
                <w:rFonts w:hint="eastAsia"/>
                <w:lang w:val="en-US" w:eastAsia="zh-CN"/>
              </w:rPr>
              <w:t>参加过的项目名称</w:t>
            </w:r>
          </w:p>
        </w:tc>
        <w:tc>
          <w:tcPr>
            <w:tcW w:w="2880" w:type="dxa"/>
            <w:gridSpan w:val="3"/>
            <w:tcBorders>
              <w:left w:val="single" w:color="auto" w:sz="4" w:space="0"/>
              <w:right w:val="single" w:color="auto" w:sz="4" w:space="0"/>
            </w:tcBorders>
            <w:vAlign w:val="center"/>
          </w:tcPr>
          <w:p>
            <w:pPr>
              <w:pStyle w:val="41"/>
              <w:framePr w:hSpace="0" w:wrap="auto" w:vAnchor="margin" w:hAnchor="text" w:xAlign="left" w:yAlign="inline"/>
              <w:jc w:val="center"/>
              <w:rPr>
                <w:rFonts w:hint="default" w:eastAsia="宋体"/>
                <w:lang w:val="en-US" w:eastAsia="zh-CN"/>
              </w:rPr>
            </w:pPr>
            <w:r>
              <w:rPr>
                <w:rFonts w:hint="eastAsia"/>
                <w:lang w:val="en-US" w:eastAsia="zh-CN"/>
              </w:rPr>
              <w:t>担任职务</w:t>
            </w:r>
          </w:p>
        </w:tc>
        <w:tc>
          <w:tcPr>
            <w:tcW w:w="1819" w:type="dxa"/>
            <w:gridSpan w:val="2"/>
            <w:tcBorders>
              <w:left w:val="single" w:color="auto" w:sz="4" w:space="0"/>
            </w:tcBorders>
            <w:vAlign w:val="center"/>
          </w:tcPr>
          <w:p>
            <w:pPr>
              <w:pStyle w:val="41"/>
              <w:framePr w:hSpace="0" w:wrap="auto" w:vAnchor="margin" w:hAnchor="text" w:xAlign="left" w:yAlign="inline"/>
              <w:jc w:val="center"/>
              <w:rPr>
                <w:rFonts w:hint="default"/>
                <w:lang w:val="en-US" w:eastAsia="zh-CN"/>
              </w:rPr>
            </w:pPr>
            <w:r>
              <w:rPr>
                <w:rFonts w:hint="eastAsia"/>
                <w:lang w:val="en-US" w:eastAsia="zh-CN"/>
              </w:rPr>
              <w:t>甲方及联系电话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1932" w:type="dxa"/>
            <w:vAlign w:val="center"/>
          </w:tcPr>
          <w:p>
            <w:pPr>
              <w:pStyle w:val="41"/>
              <w:framePr w:hSpace="0" w:wrap="auto" w:vAnchor="margin" w:hAnchor="text" w:xAlign="left" w:yAlign="inline"/>
              <w:jc w:val="center"/>
              <w:rPr>
                <w:rFonts w:hint="eastAsia"/>
              </w:rPr>
            </w:pPr>
          </w:p>
        </w:tc>
        <w:tc>
          <w:tcPr>
            <w:tcW w:w="2086" w:type="dxa"/>
            <w:gridSpan w:val="2"/>
            <w:tcBorders>
              <w:right w:val="single" w:color="auto" w:sz="4" w:space="0"/>
            </w:tcBorders>
            <w:vAlign w:val="center"/>
          </w:tcPr>
          <w:p>
            <w:pPr>
              <w:pStyle w:val="41"/>
              <w:framePr w:hSpace="0" w:wrap="auto" w:vAnchor="margin" w:hAnchor="text" w:xAlign="left" w:yAlign="inline"/>
              <w:jc w:val="center"/>
              <w:rPr>
                <w:rFonts w:hint="eastAsia"/>
              </w:rPr>
            </w:pPr>
          </w:p>
        </w:tc>
        <w:tc>
          <w:tcPr>
            <w:tcW w:w="2880" w:type="dxa"/>
            <w:gridSpan w:val="3"/>
            <w:tcBorders>
              <w:left w:val="single" w:color="auto" w:sz="4" w:space="0"/>
              <w:right w:val="single" w:color="auto" w:sz="4" w:space="0"/>
            </w:tcBorders>
            <w:vAlign w:val="center"/>
          </w:tcPr>
          <w:p>
            <w:pPr>
              <w:pStyle w:val="41"/>
              <w:framePr w:hSpace="0" w:wrap="auto" w:vAnchor="margin" w:hAnchor="text" w:xAlign="left" w:yAlign="inline"/>
              <w:jc w:val="center"/>
              <w:rPr>
                <w:rFonts w:hint="eastAsia"/>
              </w:rPr>
            </w:pPr>
          </w:p>
        </w:tc>
        <w:tc>
          <w:tcPr>
            <w:tcW w:w="1819" w:type="dxa"/>
            <w:gridSpan w:val="2"/>
            <w:tcBorders>
              <w:left w:val="single" w:color="auto" w:sz="4" w:space="0"/>
            </w:tcBorders>
            <w:vAlign w:val="center"/>
          </w:tcPr>
          <w:p>
            <w:pPr>
              <w:pStyle w:val="41"/>
              <w:framePr w:hSpace="0" w:wrap="auto" w:vAnchor="margin" w:hAnchor="text" w:xAlign="left" w:yAlign="inline"/>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1932" w:type="dxa"/>
            <w:vAlign w:val="center"/>
          </w:tcPr>
          <w:p>
            <w:pPr>
              <w:pStyle w:val="41"/>
              <w:framePr w:hSpace="0" w:wrap="auto" w:vAnchor="margin" w:hAnchor="text" w:xAlign="left" w:yAlign="inline"/>
              <w:jc w:val="center"/>
              <w:rPr>
                <w:rFonts w:hint="eastAsia"/>
              </w:rPr>
            </w:pPr>
          </w:p>
        </w:tc>
        <w:tc>
          <w:tcPr>
            <w:tcW w:w="2086" w:type="dxa"/>
            <w:gridSpan w:val="2"/>
            <w:tcBorders>
              <w:right w:val="single" w:color="auto" w:sz="4" w:space="0"/>
            </w:tcBorders>
            <w:vAlign w:val="center"/>
          </w:tcPr>
          <w:p>
            <w:pPr>
              <w:pStyle w:val="41"/>
              <w:framePr w:hSpace="0" w:wrap="auto" w:vAnchor="margin" w:hAnchor="text" w:xAlign="left" w:yAlign="inline"/>
              <w:jc w:val="center"/>
              <w:rPr>
                <w:rFonts w:hint="eastAsia"/>
              </w:rPr>
            </w:pPr>
          </w:p>
        </w:tc>
        <w:tc>
          <w:tcPr>
            <w:tcW w:w="2880" w:type="dxa"/>
            <w:gridSpan w:val="3"/>
            <w:tcBorders>
              <w:left w:val="single" w:color="auto" w:sz="4" w:space="0"/>
              <w:right w:val="single" w:color="auto" w:sz="4" w:space="0"/>
            </w:tcBorders>
            <w:vAlign w:val="center"/>
          </w:tcPr>
          <w:p>
            <w:pPr>
              <w:pStyle w:val="41"/>
              <w:framePr w:hSpace="0" w:wrap="auto" w:vAnchor="margin" w:hAnchor="text" w:xAlign="left" w:yAlign="inline"/>
              <w:jc w:val="center"/>
              <w:rPr>
                <w:rFonts w:hint="eastAsia"/>
              </w:rPr>
            </w:pPr>
          </w:p>
        </w:tc>
        <w:tc>
          <w:tcPr>
            <w:tcW w:w="1819" w:type="dxa"/>
            <w:gridSpan w:val="2"/>
            <w:tcBorders>
              <w:left w:val="single" w:color="auto" w:sz="4" w:space="0"/>
            </w:tcBorders>
            <w:vAlign w:val="center"/>
          </w:tcPr>
          <w:p>
            <w:pPr>
              <w:pStyle w:val="41"/>
              <w:framePr w:hSpace="0" w:wrap="auto" w:vAnchor="margin" w:hAnchor="text" w:xAlign="left" w:yAlign="inline"/>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1932" w:type="dxa"/>
            <w:vAlign w:val="center"/>
          </w:tcPr>
          <w:p>
            <w:pPr>
              <w:pStyle w:val="41"/>
              <w:framePr w:hSpace="0" w:wrap="auto" w:vAnchor="margin" w:hAnchor="text" w:xAlign="left" w:yAlign="inline"/>
              <w:jc w:val="center"/>
              <w:rPr>
                <w:rFonts w:hint="eastAsia"/>
              </w:rPr>
            </w:pPr>
          </w:p>
        </w:tc>
        <w:tc>
          <w:tcPr>
            <w:tcW w:w="2086" w:type="dxa"/>
            <w:gridSpan w:val="2"/>
            <w:tcBorders>
              <w:right w:val="single" w:color="auto" w:sz="4" w:space="0"/>
            </w:tcBorders>
            <w:vAlign w:val="center"/>
          </w:tcPr>
          <w:p>
            <w:pPr>
              <w:pStyle w:val="41"/>
              <w:framePr w:hSpace="0" w:wrap="auto" w:vAnchor="margin" w:hAnchor="text" w:xAlign="left" w:yAlign="inline"/>
              <w:jc w:val="center"/>
              <w:rPr>
                <w:rFonts w:hint="eastAsia"/>
              </w:rPr>
            </w:pPr>
          </w:p>
        </w:tc>
        <w:tc>
          <w:tcPr>
            <w:tcW w:w="2880" w:type="dxa"/>
            <w:gridSpan w:val="3"/>
            <w:tcBorders>
              <w:left w:val="single" w:color="auto" w:sz="4" w:space="0"/>
              <w:right w:val="single" w:color="auto" w:sz="4" w:space="0"/>
            </w:tcBorders>
            <w:vAlign w:val="center"/>
          </w:tcPr>
          <w:p>
            <w:pPr>
              <w:pStyle w:val="41"/>
              <w:framePr w:hSpace="0" w:wrap="auto" w:vAnchor="margin" w:hAnchor="text" w:xAlign="left" w:yAlign="inline"/>
              <w:jc w:val="center"/>
              <w:rPr>
                <w:rFonts w:hint="eastAsia"/>
              </w:rPr>
            </w:pPr>
          </w:p>
        </w:tc>
        <w:tc>
          <w:tcPr>
            <w:tcW w:w="1819" w:type="dxa"/>
            <w:gridSpan w:val="2"/>
            <w:tcBorders>
              <w:left w:val="single" w:color="auto" w:sz="4" w:space="0"/>
            </w:tcBorders>
            <w:vAlign w:val="center"/>
          </w:tcPr>
          <w:p>
            <w:pPr>
              <w:pStyle w:val="41"/>
              <w:framePr w:hSpace="0" w:wrap="auto" w:vAnchor="margin" w:hAnchor="text" w:xAlign="left" w:yAlign="inline"/>
              <w:jc w:val="center"/>
              <w:rPr>
                <w:rFonts w:hint="eastAsia"/>
              </w:rPr>
            </w:pPr>
          </w:p>
        </w:tc>
      </w:tr>
    </w:tbl>
    <w:p>
      <w:pPr>
        <w:spacing w:line="360" w:lineRule="auto"/>
        <w:ind w:firstLine="396" w:firstLineChars="200"/>
        <w:rPr>
          <w:rFonts w:hint="eastAsia" w:ascii="仿宋_GB2312" w:hAnsi="仿宋_GB2312" w:eastAsia="仿宋_GB2312" w:cs="仿宋_GB2312"/>
          <w:spacing w:val="-6"/>
          <w:szCs w:val="21"/>
        </w:rPr>
      </w:pPr>
    </w:p>
    <w:p>
      <w:pPr>
        <w:spacing w:line="360" w:lineRule="auto"/>
        <w:ind w:firstLine="396" w:firstLineChars="200"/>
        <w:rPr>
          <w:rFonts w:hint="eastAsia" w:ascii="仿宋_GB2312" w:hAnsi="仿宋_GB2312" w:eastAsia="仿宋_GB2312" w:cs="仿宋_GB2312"/>
          <w:szCs w:val="21"/>
        </w:rPr>
      </w:pPr>
      <w:r>
        <w:rPr>
          <w:rFonts w:hint="eastAsia" w:ascii="仿宋_GB2312" w:hAnsi="仿宋_GB2312" w:eastAsia="仿宋_GB2312" w:cs="仿宋_GB2312"/>
          <w:spacing w:val="-6"/>
          <w:szCs w:val="21"/>
        </w:rPr>
        <w:t>注： 1.本表填报的项目负责人应满足</w:t>
      </w:r>
      <w:r>
        <w:rPr>
          <w:rFonts w:hint="eastAsia" w:ascii="仿宋_GB2312" w:hAnsi="仿宋_GB2312" w:eastAsia="仿宋_GB2312" w:cs="仿宋_GB2312"/>
          <w:spacing w:val="-6"/>
          <w:szCs w:val="21"/>
          <w:highlight w:val="none"/>
          <w:lang w:eastAsia="zh-CN"/>
        </w:rPr>
        <w:t>比选申请人</w:t>
      </w:r>
      <w:r>
        <w:rPr>
          <w:rFonts w:hint="eastAsia" w:ascii="仿宋_GB2312" w:hAnsi="仿宋_GB2312" w:eastAsia="仿宋_GB2312" w:cs="仿宋_GB2312"/>
          <w:spacing w:val="-6"/>
          <w:szCs w:val="21"/>
          <w:highlight w:val="none"/>
        </w:rPr>
        <w:t>须</w:t>
      </w:r>
      <w:r>
        <w:rPr>
          <w:rFonts w:hint="eastAsia" w:ascii="仿宋_GB2312" w:hAnsi="仿宋_GB2312" w:eastAsia="仿宋_GB2312" w:cs="仿宋_GB2312"/>
          <w:spacing w:val="-6"/>
          <w:szCs w:val="21"/>
        </w:rPr>
        <w:t>知附录</w:t>
      </w:r>
      <w:r>
        <w:rPr>
          <w:rFonts w:hint="eastAsia" w:ascii="仿宋_GB2312" w:hAnsi="仿宋_GB2312" w:eastAsia="仿宋_GB2312" w:cs="仿宋_GB2312"/>
          <w:spacing w:val="-30"/>
          <w:szCs w:val="21"/>
        </w:rPr>
        <w:t xml:space="preserve"> </w:t>
      </w:r>
      <w:r>
        <w:rPr>
          <w:rFonts w:hint="eastAsia" w:ascii="仿宋_GB2312" w:hAnsi="仿宋_GB2312" w:eastAsia="仿宋_GB2312" w:cs="仿宋_GB2312"/>
          <w:spacing w:val="-6"/>
          <w:szCs w:val="21"/>
        </w:rPr>
        <w:t>3要求。</w:t>
      </w:r>
    </w:p>
    <w:p>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2.本表后应附拟委任的项目负责人身份证、职称证书复印件并加盖单位公章，原件备查。</w:t>
      </w:r>
    </w:p>
    <w:p>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3.因</w:t>
      </w:r>
      <w:r>
        <w:rPr>
          <w:rFonts w:hint="eastAsia" w:ascii="仿宋_GB2312" w:hAnsi="仿宋_GB2312" w:eastAsia="仿宋_GB2312" w:cs="仿宋_GB2312"/>
          <w:szCs w:val="21"/>
          <w:highlight w:val="none"/>
          <w:lang w:eastAsia="zh-CN"/>
        </w:rPr>
        <w:t>比选申请人</w:t>
      </w:r>
      <w:r>
        <w:rPr>
          <w:rFonts w:hint="eastAsia" w:ascii="仿宋_GB2312" w:hAnsi="仿宋_GB2312" w:eastAsia="仿宋_GB2312" w:cs="仿宋_GB2312"/>
          <w:szCs w:val="21"/>
          <w:highlight w:val="none"/>
        </w:rPr>
        <w:t>自身原因未提供附件或提供的附件不能与所证明的内容相匹配，造成业绩或相关内容不予认可时，</w:t>
      </w:r>
      <w:r>
        <w:rPr>
          <w:rFonts w:hint="eastAsia" w:ascii="仿宋_GB2312" w:hAnsi="仿宋_GB2312" w:eastAsia="仿宋_GB2312" w:cs="仿宋_GB2312"/>
          <w:szCs w:val="21"/>
          <w:highlight w:val="none"/>
          <w:lang w:eastAsia="zh-CN"/>
        </w:rPr>
        <w:t>比选申请人</w:t>
      </w:r>
      <w:r>
        <w:rPr>
          <w:rFonts w:hint="eastAsia" w:ascii="仿宋_GB2312" w:hAnsi="仿宋_GB2312" w:eastAsia="仿宋_GB2312" w:cs="仿宋_GB2312"/>
          <w:szCs w:val="21"/>
          <w:highlight w:val="none"/>
        </w:rPr>
        <w:t>自</w:t>
      </w:r>
      <w:r>
        <w:rPr>
          <w:rFonts w:hint="eastAsia" w:ascii="仿宋_GB2312" w:hAnsi="仿宋_GB2312" w:eastAsia="仿宋_GB2312" w:cs="仿宋_GB2312"/>
          <w:szCs w:val="21"/>
        </w:rPr>
        <w:t>行承担相关责任。</w:t>
      </w:r>
    </w:p>
    <w:p>
      <w:pPr>
        <w:spacing w:line="360" w:lineRule="auto"/>
        <w:ind w:firstLine="4620" w:firstLineChars="2200"/>
        <w:jc w:val="left"/>
        <w:rPr>
          <w:rFonts w:hint="eastAsia" w:ascii="仿宋_GB2312" w:hAnsi="仿宋_GB2312" w:eastAsia="仿宋_GB2312" w:cs="仿宋_GB2312"/>
          <w:szCs w:val="21"/>
        </w:rPr>
      </w:pPr>
    </w:p>
    <w:p>
      <w:pPr>
        <w:spacing w:line="360" w:lineRule="auto"/>
        <w:ind w:firstLine="4620" w:firstLineChars="2200"/>
        <w:jc w:val="left"/>
        <w:rPr>
          <w:rFonts w:hint="eastAsia" w:ascii="仿宋_GB2312" w:hAnsi="仿宋_GB2312" w:eastAsia="仿宋_GB2312" w:cs="仿宋_GB2312"/>
          <w:szCs w:val="21"/>
        </w:rPr>
      </w:pPr>
      <w:r>
        <w:rPr>
          <w:rFonts w:hint="eastAsia" w:ascii="仿宋_GB2312" w:hAnsi="仿宋_GB2312" w:eastAsia="仿宋_GB2312" w:cs="仿宋_GB2312"/>
          <w:szCs w:val="21"/>
        </w:rPr>
        <w:t>比选申请人：</w:t>
      </w:r>
      <w:r>
        <w:rPr>
          <w:rFonts w:hint="eastAsia" w:ascii="仿宋_GB2312" w:hAnsi="仿宋_GB2312" w:eastAsia="仿宋_GB2312" w:cs="仿宋_GB2312"/>
          <w:szCs w:val="21"/>
          <w:u w:val="single"/>
        </w:rPr>
        <w:t xml:space="preserve">       （全称）        </w:t>
      </w:r>
      <w:r>
        <w:rPr>
          <w:rFonts w:hint="eastAsia" w:ascii="仿宋_GB2312" w:hAnsi="仿宋_GB2312" w:eastAsia="仿宋_GB2312" w:cs="仿宋_GB2312"/>
          <w:szCs w:val="21"/>
        </w:rPr>
        <w:t>（盖章） </w:t>
      </w:r>
    </w:p>
    <w:p>
      <w:pPr>
        <w:spacing w:line="360" w:lineRule="auto"/>
        <w:ind w:firstLine="5880" w:firstLineChars="2800"/>
        <w:rPr>
          <w:rFonts w:hint="eastAsia" w:ascii="仿宋_GB2312" w:hAnsi="仿宋_GB2312" w:eastAsia="仿宋_GB2312" w:cs="仿宋_GB2312"/>
          <w:sz w:val="28"/>
          <w:szCs w:val="24"/>
        </w:rPr>
      </w:pPr>
      <w:r>
        <w:rPr>
          <w:rFonts w:hint="eastAsia" w:ascii="仿宋_GB2312" w:hAnsi="仿宋_GB2312" w:eastAsia="仿宋_GB2312" w:cs="仿宋_GB2312"/>
          <w:szCs w:val="21"/>
        </w:rPr>
        <w:t>日期：   年   月   日</w:t>
      </w:r>
    </w:p>
    <w:p>
      <w:pPr>
        <w:widowControl/>
        <w:numPr>
          <w:ilvl w:val="255"/>
          <w:numId w:val="0"/>
        </w:numPr>
        <w:jc w:val="center"/>
        <w:rPr>
          <w:rFonts w:hint="eastAsia" w:ascii="仿宋_GB2312" w:hAnsi="仿宋_GB2312" w:eastAsia="仿宋_GB2312" w:cs="仿宋_GB2312"/>
          <w:b/>
          <w:bCs/>
          <w:sz w:val="28"/>
          <w:szCs w:val="24"/>
        </w:rPr>
      </w:pPr>
    </w:p>
    <w:p>
      <w:pPr>
        <w:widowControl/>
        <w:jc w:val="left"/>
        <w:rPr>
          <w:rFonts w:hint="eastAsia" w:ascii="仿宋_GB2312" w:hAnsi="仿宋_GB2312" w:eastAsia="仿宋_GB2312" w:cs="仿宋_GB2312"/>
          <w:b/>
          <w:bCs/>
          <w:sz w:val="28"/>
          <w:szCs w:val="24"/>
        </w:rPr>
      </w:pPr>
      <w:r>
        <w:rPr>
          <w:rFonts w:hint="eastAsia" w:ascii="仿宋_GB2312" w:hAnsi="仿宋_GB2312" w:eastAsia="仿宋_GB2312" w:cs="仿宋_GB2312"/>
          <w:b/>
          <w:bCs/>
          <w:sz w:val="28"/>
          <w:szCs w:val="24"/>
        </w:rPr>
        <w:br w:type="page"/>
      </w:r>
    </w:p>
    <w:p>
      <w:pPr>
        <w:spacing w:line="600" w:lineRule="exact"/>
        <w:jc w:val="center"/>
        <w:outlineLvl w:val="2"/>
        <w:rPr>
          <w:rFonts w:hint="eastAsia" w:ascii="仿宋_GB2312" w:hAnsi="仿宋_GB2312" w:eastAsia="仿宋_GB2312" w:cs="仿宋_GB2312"/>
          <w:b/>
          <w:bCs/>
          <w:sz w:val="28"/>
          <w:szCs w:val="24"/>
        </w:rPr>
      </w:pPr>
      <w:r>
        <w:rPr>
          <w:rFonts w:hint="eastAsia" w:ascii="仿宋_GB2312" w:hAnsi="仿宋_GB2312" w:eastAsia="仿宋_GB2312" w:cs="仿宋_GB2312"/>
          <w:b/>
          <w:bCs/>
          <w:sz w:val="28"/>
          <w:szCs w:val="24"/>
        </w:rPr>
        <w:t>五、技术服务方案</w:t>
      </w:r>
    </w:p>
    <w:p>
      <w:pPr>
        <w:spacing w:line="480" w:lineRule="exact"/>
        <w:jc w:val="center"/>
        <w:outlineLvl w:val="3"/>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w:t>
      </w:r>
      <w:r>
        <w:rPr>
          <w:rFonts w:hint="eastAsia" w:ascii="仿宋_GB2312" w:hAnsi="仿宋_GB2312" w:eastAsia="仿宋_GB2312" w:cs="仿宋_GB2312"/>
          <w:b/>
          <w:bCs/>
          <w:sz w:val="28"/>
          <w:szCs w:val="24"/>
        </w:rPr>
        <w:t>技术服务方案</w:t>
      </w:r>
    </w:p>
    <w:p>
      <w:pPr>
        <w:spacing w:before="98" w:line="222" w:lineRule="auto"/>
        <w:ind w:left="2890" w:firstLine="650"/>
        <w:outlineLvl w:val="9"/>
        <w:rPr>
          <w:rFonts w:hint="eastAsia" w:cs="仿宋" w:asciiTheme="minorEastAsia" w:hAnsiTheme="minorEastAsia" w:eastAsiaTheme="minorEastAsia"/>
          <w:b/>
          <w:bCs/>
          <w:spacing w:val="12"/>
          <w:sz w:val="30"/>
          <w:szCs w:val="30"/>
        </w:rPr>
      </w:pPr>
    </w:p>
    <w:p>
      <w:pPr>
        <w:spacing w:line="480" w:lineRule="exact"/>
        <w:ind w:firstLine="416" w:firstLineChars="200"/>
        <w:rPr>
          <w:rFonts w:hint="eastAsia" w:ascii="仿宋_GB2312" w:hAnsi="仿宋_GB2312" w:eastAsia="仿宋_GB2312" w:cs="仿宋_GB2312"/>
          <w:sz w:val="22"/>
          <w:highlight w:val="yellow"/>
        </w:rPr>
      </w:pPr>
      <w:r>
        <w:rPr>
          <w:rFonts w:hint="eastAsia" w:cs="仿宋" w:asciiTheme="minorEastAsia" w:hAnsiTheme="minorEastAsia" w:eastAsiaTheme="minorEastAsia"/>
          <w:spacing w:val="-1"/>
          <w:szCs w:val="21"/>
        </w:rPr>
        <w:t>比选申请人应按以下要点编制服务方案（文字宜精练、内容具有针对性</w:t>
      </w:r>
      <w:r>
        <w:rPr>
          <w:rFonts w:hint="eastAsia" w:cs="仿宋" w:asciiTheme="minorEastAsia" w:hAnsiTheme="minorEastAsia" w:eastAsiaTheme="minorEastAsia"/>
          <w:spacing w:val="-8"/>
          <w:szCs w:val="21"/>
        </w:rPr>
        <w:t>）：</w:t>
      </w:r>
    </w:p>
    <w:p>
      <w:pPr>
        <w:numPr>
          <w:ilvl w:val="0"/>
          <w:numId w:val="1"/>
        </w:numPr>
        <w:spacing w:line="480" w:lineRule="exact"/>
        <w:ind w:firstLine="420" w:firstLineChars="200"/>
        <w:rPr>
          <w:rFonts w:hint="eastAsia" w:ascii="仿宋" w:hAnsi="仿宋" w:eastAsia="仿宋" w:cs="仿宋"/>
          <w:szCs w:val="21"/>
        </w:rPr>
      </w:pPr>
      <w:r>
        <w:rPr>
          <w:rFonts w:hint="eastAsia" w:ascii="仿宋" w:hAnsi="仿宋" w:eastAsia="仿宋" w:cs="仿宋"/>
          <w:szCs w:val="21"/>
        </w:rPr>
        <w:t>对本项目的理解及整体服务方案</w:t>
      </w:r>
    </w:p>
    <w:p>
      <w:pPr>
        <w:numPr>
          <w:ilvl w:val="0"/>
          <w:numId w:val="1"/>
        </w:numPr>
        <w:spacing w:line="480" w:lineRule="exact"/>
        <w:ind w:firstLine="412" w:firstLineChars="200"/>
        <w:rPr>
          <w:rFonts w:hint="eastAsia" w:ascii="仿宋_GB2312" w:hAnsi="仿宋_GB2312" w:eastAsia="仿宋_GB2312" w:cs="仿宋_GB2312"/>
          <w:sz w:val="22"/>
        </w:rPr>
      </w:pPr>
      <w:r>
        <w:rPr>
          <w:rFonts w:hint="eastAsia" w:ascii="仿宋" w:hAnsi="仿宋" w:eastAsia="仿宋" w:cs="仿宋"/>
          <w:spacing w:val="-2"/>
        </w:rPr>
        <w:t>对本项目质量保障措施、工程进度安排、组织结构、服务时效性保障</w:t>
      </w:r>
      <w:r>
        <w:rPr>
          <w:rFonts w:hint="eastAsia" w:ascii="仿宋" w:hAnsi="仿宋" w:eastAsia="仿宋" w:cs="仿宋"/>
          <w:spacing w:val="-2"/>
          <w:lang w:eastAsia="zh-CN"/>
        </w:rPr>
        <w:t>。</w:t>
      </w:r>
    </w:p>
    <w:p>
      <w:pPr>
        <w:rPr>
          <w:rFonts w:hint="eastAsia" w:ascii="仿宋_GB2312" w:hAnsi="仿宋_GB2312" w:eastAsia="仿宋_GB2312" w:cs="仿宋_GB2312"/>
          <w:sz w:val="28"/>
        </w:rPr>
      </w:pPr>
    </w:p>
    <w:p>
      <w:pPr>
        <w:rPr>
          <w:rFonts w:hint="eastAsia" w:ascii="仿宋_GB2312" w:hAnsi="仿宋_GB2312" w:eastAsia="仿宋_GB2312" w:cs="仿宋_GB2312"/>
          <w:sz w:val="28"/>
        </w:rPr>
      </w:pPr>
    </w:p>
    <w:p>
      <w:pPr>
        <w:rPr>
          <w:rFonts w:hint="eastAsia" w:ascii="仿宋_GB2312" w:hAnsi="仿宋_GB2312" w:eastAsia="仿宋_GB2312" w:cs="仿宋_GB2312"/>
          <w:sz w:val="28"/>
        </w:rPr>
      </w:pPr>
    </w:p>
    <w:p>
      <w:pPr>
        <w:rPr>
          <w:rFonts w:hint="eastAsia" w:ascii="仿宋_GB2312" w:hAnsi="仿宋_GB2312" w:eastAsia="仿宋_GB2312" w:cs="仿宋_GB2312"/>
          <w:sz w:val="28"/>
        </w:rPr>
      </w:pPr>
    </w:p>
    <w:p>
      <w:pPr>
        <w:rPr>
          <w:rFonts w:hint="eastAsia" w:ascii="仿宋_GB2312" w:hAnsi="仿宋_GB2312" w:eastAsia="仿宋_GB2312" w:cs="仿宋_GB2312"/>
          <w:sz w:val="28"/>
        </w:rPr>
      </w:pPr>
    </w:p>
    <w:p>
      <w:pPr>
        <w:rPr>
          <w:rFonts w:hint="eastAsia" w:ascii="仿宋_GB2312" w:hAnsi="仿宋_GB2312" w:eastAsia="仿宋_GB2312" w:cs="仿宋_GB2312"/>
          <w:sz w:val="28"/>
        </w:rPr>
      </w:pPr>
    </w:p>
    <w:p>
      <w:pPr>
        <w:rPr>
          <w:rFonts w:hint="eastAsia" w:ascii="仿宋_GB2312" w:hAnsi="仿宋_GB2312" w:eastAsia="仿宋_GB2312" w:cs="仿宋_GB2312"/>
          <w:sz w:val="28"/>
        </w:rPr>
      </w:pPr>
    </w:p>
    <w:p>
      <w:pPr>
        <w:rPr>
          <w:rFonts w:hint="eastAsia" w:ascii="仿宋_GB2312" w:hAnsi="仿宋_GB2312" w:eastAsia="仿宋_GB2312" w:cs="仿宋_GB2312"/>
          <w:sz w:val="28"/>
        </w:rPr>
      </w:pPr>
    </w:p>
    <w:p>
      <w:pPr>
        <w:rPr>
          <w:rFonts w:hint="eastAsia" w:ascii="仿宋_GB2312" w:hAnsi="仿宋_GB2312" w:eastAsia="仿宋_GB2312" w:cs="仿宋_GB2312"/>
          <w:sz w:val="28"/>
        </w:rPr>
      </w:pPr>
    </w:p>
    <w:p>
      <w:pPr>
        <w:rPr>
          <w:rFonts w:hint="eastAsia" w:ascii="仿宋_GB2312" w:hAnsi="仿宋_GB2312" w:eastAsia="仿宋_GB2312" w:cs="仿宋_GB2312"/>
          <w:sz w:val="28"/>
        </w:rPr>
      </w:pPr>
    </w:p>
    <w:p>
      <w:pPr>
        <w:rPr>
          <w:rFonts w:hint="eastAsia" w:ascii="仿宋_GB2312" w:hAnsi="仿宋_GB2312" w:eastAsia="仿宋_GB2312" w:cs="仿宋_GB2312"/>
          <w:sz w:val="28"/>
        </w:rPr>
      </w:pPr>
    </w:p>
    <w:p>
      <w:pPr>
        <w:rPr>
          <w:rFonts w:hint="eastAsia" w:ascii="仿宋_GB2312" w:hAnsi="仿宋_GB2312" w:eastAsia="仿宋_GB2312" w:cs="仿宋_GB2312"/>
          <w:sz w:val="28"/>
        </w:rPr>
      </w:pPr>
    </w:p>
    <w:p>
      <w:pPr>
        <w:rPr>
          <w:rFonts w:hint="eastAsia" w:ascii="仿宋_GB2312" w:hAnsi="仿宋_GB2312" w:eastAsia="仿宋_GB2312" w:cs="仿宋_GB2312"/>
          <w:sz w:val="28"/>
        </w:rPr>
      </w:pPr>
    </w:p>
    <w:p>
      <w:pPr>
        <w:rPr>
          <w:rFonts w:hint="eastAsia" w:ascii="仿宋_GB2312" w:hAnsi="仿宋_GB2312" w:eastAsia="仿宋_GB2312" w:cs="仿宋_GB2312"/>
          <w:sz w:val="28"/>
        </w:rPr>
      </w:pPr>
    </w:p>
    <w:p>
      <w:pPr>
        <w:rPr>
          <w:rFonts w:hint="eastAsia" w:ascii="仿宋_GB2312" w:hAnsi="仿宋_GB2312" w:eastAsia="仿宋_GB2312" w:cs="仿宋_GB2312"/>
          <w:sz w:val="28"/>
        </w:rPr>
      </w:pPr>
    </w:p>
    <w:p>
      <w:pPr>
        <w:rPr>
          <w:rFonts w:hint="eastAsia" w:ascii="仿宋_GB2312" w:hAnsi="仿宋_GB2312" w:eastAsia="仿宋_GB2312" w:cs="仿宋_GB2312"/>
          <w:sz w:val="28"/>
        </w:rPr>
      </w:pPr>
    </w:p>
    <w:p>
      <w:pPr>
        <w:rPr>
          <w:rFonts w:hint="eastAsia" w:ascii="仿宋_GB2312" w:hAnsi="仿宋_GB2312" w:eastAsia="仿宋_GB2312" w:cs="仿宋_GB2312"/>
          <w:sz w:val="28"/>
        </w:rPr>
      </w:pPr>
    </w:p>
    <w:p>
      <w:pPr>
        <w:rPr>
          <w:rFonts w:hint="eastAsia" w:ascii="仿宋_GB2312" w:hAnsi="仿宋_GB2312" w:eastAsia="仿宋_GB2312" w:cs="仿宋_GB2312"/>
          <w:sz w:val="28"/>
        </w:rPr>
      </w:pPr>
    </w:p>
    <w:p>
      <w:pPr>
        <w:rPr>
          <w:rFonts w:hint="eastAsia" w:ascii="仿宋_GB2312" w:hAnsi="仿宋_GB2312" w:eastAsia="仿宋_GB2312" w:cs="仿宋_GB2312"/>
          <w:sz w:val="28"/>
        </w:rPr>
      </w:pPr>
    </w:p>
    <w:p>
      <w:pPr>
        <w:rPr>
          <w:rFonts w:hint="eastAsia" w:ascii="仿宋_GB2312" w:hAnsi="仿宋_GB2312" w:eastAsia="仿宋_GB2312" w:cs="仿宋_GB2312"/>
          <w:sz w:val="28"/>
        </w:rPr>
      </w:pPr>
    </w:p>
    <w:p>
      <w:pPr>
        <w:rPr>
          <w:rFonts w:hint="eastAsia" w:ascii="仿宋_GB2312" w:hAnsi="仿宋_GB2312" w:eastAsia="仿宋_GB2312" w:cs="仿宋_GB2312"/>
          <w:sz w:val="28"/>
        </w:rPr>
      </w:pPr>
    </w:p>
    <w:p>
      <w:pPr>
        <w:rPr>
          <w:rFonts w:hint="eastAsia" w:ascii="仿宋_GB2312" w:hAnsi="仿宋_GB2312" w:eastAsia="仿宋_GB2312" w:cs="仿宋_GB2312"/>
          <w:sz w:val="28"/>
        </w:rPr>
      </w:pPr>
    </w:p>
    <w:p>
      <w:pPr>
        <w:rPr>
          <w:rFonts w:hint="eastAsia" w:ascii="仿宋_GB2312" w:hAnsi="仿宋_GB2312" w:eastAsia="仿宋_GB2312" w:cs="仿宋_GB2312"/>
          <w:sz w:val="28"/>
        </w:rPr>
      </w:pPr>
    </w:p>
    <w:p>
      <w:pPr>
        <w:rPr>
          <w:rFonts w:hint="eastAsia" w:ascii="仿宋_GB2312" w:hAnsi="仿宋_GB2312" w:eastAsia="仿宋_GB2312" w:cs="仿宋_GB2312"/>
          <w:sz w:val="28"/>
        </w:rPr>
      </w:pPr>
    </w:p>
    <w:p>
      <w:pPr>
        <w:rPr>
          <w:rFonts w:hint="eastAsia" w:ascii="仿宋_GB2312" w:hAnsi="仿宋_GB2312" w:eastAsia="仿宋_GB2312" w:cs="仿宋_GB2312"/>
          <w:sz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spacing w:line="600" w:lineRule="exact"/>
        <w:jc w:val="center"/>
        <w:outlineLvl w:val="3"/>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（二）服务承诺书格式</w:t>
      </w:r>
    </w:p>
    <w:p>
      <w:pPr>
        <w:snapToGrid w:val="0"/>
        <w:spacing w:line="540" w:lineRule="exact"/>
        <w:jc w:val="center"/>
        <w:rPr>
          <w:rFonts w:hint="eastAsia" w:ascii="仿宋_GB2312" w:hAnsi="仿宋_GB2312" w:eastAsia="仿宋_GB2312" w:cs="仿宋_GB2312"/>
          <w:b/>
          <w:bCs/>
          <w:sz w:val="28"/>
          <w:szCs w:val="24"/>
        </w:rPr>
      </w:pPr>
    </w:p>
    <w:p>
      <w:pPr>
        <w:tabs>
          <w:tab w:val="left" w:pos="547"/>
        </w:tabs>
        <w:spacing w:before="69" w:line="480" w:lineRule="exact"/>
        <w:rPr>
          <w:rFonts w:hint="eastAsia" w:ascii="仿宋_GB2312" w:hAnsi="仿宋_GB2312" w:eastAsia="仿宋_GB2312" w:cs="仿宋_GB2312"/>
          <w:szCs w:val="21"/>
          <w:u w:val="single"/>
        </w:rPr>
      </w:pPr>
      <w:r>
        <w:rPr>
          <w:rFonts w:hint="eastAsia" w:ascii="仿宋_GB2312" w:hAnsi="仿宋_GB2312" w:eastAsia="仿宋_GB2312" w:cs="仿宋_GB2312"/>
          <w:spacing w:val="-2"/>
          <w:szCs w:val="21"/>
          <w:u w:val="single"/>
        </w:rPr>
        <w:tab/>
      </w:r>
      <w:r>
        <w:rPr>
          <w:rFonts w:hint="eastAsia" w:ascii="仿宋_GB2312" w:hAnsi="仿宋_GB2312" w:eastAsia="仿宋_GB2312" w:cs="仿宋_GB2312"/>
          <w:spacing w:val="-2"/>
          <w:szCs w:val="21"/>
          <w:u w:val="single"/>
        </w:rPr>
        <w:t>（比选人名称）</w:t>
      </w:r>
      <w:r>
        <w:rPr>
          <w:rFonts w:hint="eastAsia" w:ascii="仿宋_GB2312" w:hAnsi="仿宋_GB2312" w:eastAsia="仿宋_GB2312" w:cs="仿宋_GB2312"/>
          <w:spacing w:val="20"/>
          <w:szCs w:val="21"/>
          <w:u w:val="single"/>
        </w:rPr>
        <w:t xml:space="preserve">  </w:t>
      </w:r>
      <w:r>
        <w:rPr>
          <w:rFonts w:hint="eastAsia" w:ascii="仿宋_GB2312" w:hAnsi="仿宋_GB2312" w:eastAsia="仿宋_GB2312" w:cs="仿宋_GB2312"/>
          <w:spacing w:val="-10"/>
          <w:szCs w:val="21"/>
          <w:u w:val="single"/>
        </w:rPr>
        <w:t>：</w:t>
      </w:r>
    </w:p>
    <w:p>
      <w:pPr>
        <w:spacing w:line="48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我方以诚实、守信的态度参加贵方的比选活动并郑重承诺，在参选过程中，不发生因我方原因造成的违背下列承诺之一的行为或出现其它严重损害贵方利益的行为。如有发生，我方自愿放弃比选申请，且自我方行为被贵方认定之日起两年内，贵方有权不接受我方在贵方招标活动中的报价申请，两年后如我方不能有效证明信誉的改善，贵方仍有权拒绝我方的</w:t>
      </w:r>
      <w:r>
        <w:rPr>
          <w:rFonts w:hint="eastAsia" w:ascii="仿宋_GB2312" w:hAnsi="仿宋_GB2312" w:eastAsia="仿宋_GB2312" w:cs="仿宋_GB2312"/>
          <w:szCs w:val="21"/>
          <w:lang w:val="en-US" w:eastAsia="zh-CN"/>
        </w:rPr>
        <w:t>比选</w:t>
      </w:r>
      <w:r>
        <w:rPr>
          <w:rFonts w:hint="eastAsia" w:ascii="仿宋_GB2312" w:hAnsi="仿宋_GB2312" w:eastAsia="仿宋_GB2312" w:cs="仿宋_GB2312"/>
          <w:szCs w:val="21"/>
        </w:rPr>
        <w:t>申请。</w:t>
      </w:r>
    </w:p>
    <w:p>
      <w:pPr>
        <w:spacing w:line="48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1、我方承诺不发生弄虚作假骗取中选、中选后非贵方原因放弃中选的行为。如在中选后发现我方申请资料不符合比选要求或资料载明条件发生变化而不符合比选要求，你方有权取消我方中选人资格，另选中选人。</w:t>
      </w:r>
    </w:p>
    <w:p>
      <w:pPr>
        <w:spacing w:line="48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2、我方承诺不发生任何串通与项目有关的单位而损害贵方或国家利益的行为。</w:t>
      </w:r>
    </w:p>
    <w:p>
      <w:pPr>
        <w:spacing w:line="48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3、如我单位中选，我方承诺：</w:t>
      </w:r>
    </w:p>
    <w:p>
      <w:pPr>
        <w:spacing w:line="48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（1）在项目咨询时，我方保证接受贵方在服务内容、服务要求、费用支付额度及支付方式、服务质量等方面的管理规定。</w:t>
      </w:r>
    </w:p>
    <w:p>
      <w:pPr>
        <w:spacing w:line="48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（2）不发生出具虚假成果或报告的行为。</w:t>
      </w:r>
    </w:p>
    <w:p>
      <w:pPr>
        <w:spacing w:line="48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（3）不发生因我方原因造成技术服务出现重大失误的行为。</w:t>
      </w:r>
    </w:p>
    <w:p>
      <w:pPr>
        <w:spacing w:line="48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（4）将接受贵方对咨询机构的考核管理办法及其他管理规定。</w:t>
      </w:r>
    </w:p>
    <w:p>
      <w:pPr>
        <w:spacing w:line="48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4、比选文件、比选申请文件中的实质性条款也属我方承诺的内容。</w:t>
      </w:r>
    </w:p>
    <w:p>
      <w:pPr>
        <w:spacing w:line="480" w:lineRule="exact"/>
        <w:ind w:firstLine="4620" w:firstLineChars="2200"/>
        <w:jc w:val="left"/>
        <w:rPr>
          <w:rFonts w:hint="eastAsia" w:ascii="仿宋_GB2312" w:hAnsi="仿宋_GB2312" w:eastAsia="仿宋_GB2312" w:cs="仿宋_GB2312"/>
          <w:szCs w:val="21"/>
        </w:rPr>
      </w:pPr>
    </w:p>
    <w:p>
      <w:pPr>
        <w:spacing w:line="480" w:lineRule="exact"/>
        <w:ind w:firstLine="4620" w:firstLineChars="2200"/>
        <w:jc w:val="left"/>
        <w:rPr>
          <w:rFonts w:hint="eastAsia" w:ascii="仿宋_GB2312" w:hAnsi="仿宋_GB2312" w:eastAsia="仿宋_GB2312" w:cs="仿宋_GB2312"/>
          <w:szCs w:val="21"/>
        </w:rPr>
      </w:pPr>
      <w:r>
        <w:rPr>
          <w:rFonts w:hint="eastAsia" w:ascii="仿宋_GB2312" w:hAnsi="仿宋_GB2312" w:eastAsia="仿宋_GB2312" w:cs="仿宋_GB2312"/>
          <w:szCs w:val="21"/>
        </w:rPr>
        <w:t>比选申请人：</w:t>
      </w:r>
      <w:r>
        <w:rPr>
          <w:rFonts w:ascii="仿宋_GB2312" w:hAnsi="仿宋_GB2312" w:eastAsia="仿宋_GB2312" w:cs="仿宋_GB2312"/>
          <w:szCs w:val="21"/>
          <w:u w:val="single"/>
        </w:rPr>
        <w:t xml:space="preserve">       </w:t>
      </w:r>
      <w:r>
        <w:rPr>
          <w:rFonts w:hint="eastAsia" w:ascii="仿宋_GB2312" w:hAnsi="仿宋_GB2312" w:eastAsia="仿宋_GB2312" w:cs="仿宋_GB2312"/>
          <w:szCs w:val="21"/>
          <w:u w:val="single"/>
        </w:rPr>
        <w:t xml:space="preserve">（全称）      </w:t>
      </w:r>
      <w:r>
        <w:rPr>
          <w:rFonts w:ascii="仿宋_GB2312" w:hAnsi="仿宋_GB2312" w:eastAsia="仿宋_GB2312" w:cs="仿宋_GB2312"/>
          <w:szCs w:val="21"/>
          <w:u w:val="single"/>
        </w:rPr>
        <w:t xml:space="preserve">  </w:t>
      </w:r>
      <w:r>
        <w:rPr>
          <w:rFonts w:hint="eastAsia" w:ascii="仿宋_GB2312" w:hAnsi="仿宋_GB2312" w:eastAsia="仿宋_GB2312" w:cs="仿宋_GB2312"/>
          <w:szCs w:val="21"/>
        </w:rPr>
        <w:t>（盖章） </w:t>
      </w:r>
    </w:p>
    <w:p>
      <w:pPr>
        <w:spacing w:line="480" w:lineRule="exact"/>
        <w:ind w:firstLine="3360" w:firstLineChars="1600"/>
        <w:jc w:val="left"/>
        <w:rPr>
          <w:rFonts w:hint="eastAsia" w:ascii="仿宋_GB2312" w:hAnsi="仿宋_GB2312" w:eastAsia="仿宋_GB2312" w:cs="仿宋_GB2312"/>
          <w:szCs w:val="21"/>
        </w:rPr>
      </w:pPr>
      <w:r>
        <w:rPr>
          <w:rFonts w:hint="eastAsia" w:ascii="仿宋_GB2312" w:hAnsi="仿宋_GB2312" w:eastAsia="仿宋_GB2312" w:cs="仿宋_GB2312"/>
          <w:szCs w:val="21"/>
        </w:rPr>
        <w:t>法定代表人或受托代理人签字：</w:t>
      </w:r>
      <w:r>
        <w:rPr>
          <w:rFonts w:ascii="仿宋_GB2312" w:hAnsi="仿宋_GB2312" w:eastAsia="仿宋_GB2312" w:cs="仿宋_GB2312"/>
          <w:szCs w:val="21"/>
          <w:u w:val="single"/>
        </w:rPr>
        <w:t xml:space="preserve">         </w:t>
      </w:r>
      <w:r>
        <w:rPr>
          <w:rFonts w:hint="eastAsia" w:ascii="仿宋_GB2312" w:hAnsi="仿宋_GB2312" w:eastAsia="仿宋_GB2312" w:cs="仿宋_GB2312"/>
          <w:szCs w:val="21"/>
          <w:u w:val="single"/>
        </w:rPr>
        <w:t xml:space="preserve">  </w:t>
      </w:r>
      <w:r>
        <w:rPr>
          <w:rFonts w:ascii="仿宋_GB2312" w:hAnsi="仿宋_GB2312" w:eastAsia="仿宋_GB2312" w:cs="仿宋_GB2312"/>
          <w:szCs w:val="21"/>
          <w:u w:val="single"/>
        </w:rPr>
        <w:t xml:space="preserve">   </w:t>
      </w:r>
      <w:r>
        <w:rPr>
          <w:rFonts w:hint="eastAsia" w:ascii="仿宋_GB2312" w:hAnsi="仿宋_GB2312" w:eastAsia="仿宋_GB2312" w:cs="仿宋_GB2312"/>
          <w:szCs w:val="21"/>
        </w:rPr>
        <w:t>（亲笔签字）</w:t>
      </w:r>
    </w:p>
    <w:p>
      <w:pPr>
        <w:spacing w:line="480" w:lineRule="exact"/>
        <w:ind w:firstLine="6090" w:firstLineChars="2900"/>
        <w:jc w:val="left"/>
        <w:rPr>
          <w:rFonts w:hint="eastAsia" w:ascii="仿宋_GB2312" w:hAnsi="仿宋_GB2312" w:eastAsia="仿宋_GB2312" w:cs="仿宋_GB2312"/>
          <w:szCs w:val="21"/>
        </w:rPr>
      </w:pPr>
    </w:p>
    <w:p>
      <w:pPr>
        <w:spacing w:before="56"/>
        <w:ind w:firstLine="5670" w:firstLineChars="2700"/>
        <w:jc w:val="left"/>
        <w:rPr>
          <w:rFonts w:hint="eastAsia" w:ascii="仿宋_GB2312" w:hAnsi="仿宋_GB2312" w:eastAsia="仿宋_GB2312" w:cs="仿宋_GB2312"/>
          <w:szCs w:val="21"/>
        </w:rPr>
      </w:pPr>
      <w:r>
        <w:rPr>
          <w:rFonts w:hint="eastAsia" w:ascii="仿宋_GB2312" w:hAnsi="仿宋_GB2312" w:eastAsia="仿宋_GB2312" w:cs="仿宋_GB2312"/>
          <w:szCs w:val="21"/>
        </w:rPr>
        <w:t>日期：   年   月   日</w:t>
      </w:r>
    </w:p>
    <w:p>
      <w:pPr>
        <w:widowControl/>
        <w:jc w:val="left"/>
        <w:rPr>
          <w:rFonts w:hint="eastAsia" w:ascii="仿宋_GB2312" w:hAnsi="仿宋_GB2312" w:eastAsia="仿宋_GB2312" w:cs="仿宋_GB2312"/>
          <w:sz w:val="28"/>
        </w:rPr>
      </w:pPr>
      <w:r>
        <w:rPr>
          <w:rFonts w:hint="eastAsia" w:ascii="仿宋_GB2312" w:hAnsi="仿宋_GB2312" w:eastAsia="仿宋_GB2312" w:cs="仿宋_GB2312"/>
          <w:sz w:val="28"/>
        </w:rPr>
        <w:br w:type="page"/>
      </w:r>
    </w:p>
    <w:p>
      <w:pPr>
        <w:spacing w:line="600" w:lineRule="exact"/>
        <w:jc w:val="center"/>
        <w:outlineLvl w:val="2"/>
        <w:rPr>
          <w:rFonts w:hint="eastAsia" w:ascii="仿宋_GB2312" w:hAnsi="仿宋_GB2312" w:eastAsia="仿宋_GB2312" w:cs="仿宋_GB2312"/>
          <w:b/>
          <w:bCs/>
          <w:sz w:val="28"/>
          <w:szCs w:val="24"/>
        </w:rPr>
      </w:pPr>
      <w:r>
        <w:rPr>
          <w:rFonts w:hint="eastAsia" w:ascii="仿宋_GB2312" w:hAnsi="仿宋_GB2312" w:eastAsia="仿宋_GB2312" w:cs="仿宋_GB2312"/>
          <w:b/>
          <w:bCs/>
          <w:sz w:val="28"/>
          <w:szCs w:val="24"/>
        </w:rPr>
        <w:t>六、比选申请人提供的其他材料（如有）</w:t>
      </w:r>
    </w:p>
    <w:p/>
    <w:p/>
    <w:p>
      <w:pPr>
        <w:spacing w:before="69" w:line="217" w:lineRule="auto"/>
        <w:ind w:left="80"/>
        <w:rPr>
          <w:rFonts w:hint="eastAsia" w:ascii="仿宋" w:hAnsi="仿宋" w:eastAsia="仿宋" w:cs="仿宋"/>
          <w:spacing w:val="-1"/>
          <w:szCs w:val="21"/>
        </w:rPr>
      </w:pPr>
      <w:r>
        <w:rPr>
          <w:rFonts w:hint="eastAsia" w:ascii="仿宋" w:hAnsi="仿宋" w:eastAsia="仿宋" w:cs="仿宋"/>
          <w:spacing w:val="-1"/>
          <w:szCs w:val="21"/>
        </w:rPr>
        <w:t>注：</w:t>
      </w:r>
      <w:r>
        <w:rPr>
          <w:rFonts w:hint="eastAsia" w:ascii="仿宋" w:hAnsi="仿宋" w:eastAsia="仿宋" w:cs="仿宋"/>
          <w:spacing w:val="-1"/>
          <w:szCs w:val="21"/>
          <w:lang w:val="en-US" w:eastAsia="zh-CN"/>
        </w:rPr>
        <w:t>比选申请</w:t>
      </w:r>
      <w:r>
        <w:rPr>
          <w:rFonts w:hint="eastAsia" w:ascii="仿宋" w:hAnsi="仿宋" w:eastAsia="仿宋" w:cs="仿宋"/>
          <w:spacing w:val="-1"/>
          <w:szCs w:val="21"/>
        </w:rPr>
        <w:t>人认为需要附的其他资料。</w:t>
      </w:r>
    </w:p>
    <w:p>
      <w:pPr>
        <w:outlineLvl w:val="9"/>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br w:type="page"/>
      </w:r>
    </w:p>
    <w:p>
      <w:pPr>
        <w:spacing w:line="6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四川成渝高速公路股份有限公司公路运营管理一分公司</w:t>
      </w:r>
    </w:p>
    <w:p>
      <w:pPr>
        <w:spacing w:line="600" w:lineRule="exact"/>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双重预防机制建设和安全生产标准化二级达标创建技术服务项目</w:t>
      </w:r>
    </w:p>
    <w:p>
      <w:pPr>
        <w:widowControl/>
        <w:autoSpaceDE w:val="0"/>
        <w:autoSpaceDN w:val="0"/>
        <w:spacing w:line="600" w:lineRule="exact"/>
        <w:jc w:val="center"/>
        <w:textAlignment w:val="bottom"/>
        <w:rPr>
          <w:rFonts w:hint="eastAsia" w:ascii="仿宋_GB2312" w:hAnsi="仿宋_GB2312" w:eastAsia="仿宋_GB2312" w:cs="仿宋_GB2312"/>
          <w:sz w:val="28"/>
          <w:szCs w:val="24"/>
        </w:rPr>
      </w:pPr>
    </w:p>
    <w:p>
      <w:pPr>
        <w:widowControl/>
        <w:autoSpaceDE w:val="0"/>
        <w:autoSpaceDN w:val="0"/>
        <w:spacing w:line="600" w:lineRule="exact"/>
        <w:jc w:val="center"/>
        <w:textAlignment w:val="bottom"/>
        <w:rPr>
          <w:rFonts w:hint="eastAsia" w:ascii="仿宋_GB2312" w:hAnsi="仿宋_GB2312" w:eastAsia="仿宋_GB2312" w:cs="仿宋_GB2312"/>
          <w:sz w:val="28"/>
          <w:szCs w:val="24"/>
        </w:rPr>
      </w:pPr>
    </w:p>
    <w:p>
      <w:pPr>
        <w:widowControl/>
        <w:autoSpaceDE w:val="0"/>
        <w:autoSpaceDN w:val="0"/>
        <w:spacing w:line="600" w:lineRule="exact"/>
        <w:jc w:val="center"/>
        <w:textAlignment w:val="bottom"/>
        <w:rPr>
          <w:rFonts w:hint="eastAsia" w:ascii="仿宋_GB2312" w:hAnsi="仿宋_GB2312" w:eastAsia="仿宋_GB2312" w:cs="仿宋_GB2312"/>
          <w:sz w:val="28"/>
          <w:szCs w:val="24"/>
        </w:rPr>
      </w:pPr>
    </w:p>
    <w:p>
      <w:pPr>
        <w:widowControl/>
        <w:autoSpaceDE w:val="0"/>
        <w:autoSpaceDN w:val="0"/>
        <w:spacing w:line="600" w:lineRule="exact"/>
        <w:jc w:val="center"/>
        <w:textAlignment w:val="bottom"/>
        <w:rPr>
          <w:rFonts w:hint="eastAsia" w:ascii="仿宋_GB2312" w:hAnsi="仿宋_GB2312" w:eastAsia="仿宋_GB2312" w:cs="仿宋_GB2312"/>
          <w:sz w:val="28"/>
          <w:szCs w:val="24"/>
        </w:rPr>
      </w:pPr>
    </w:p>
    <w:p>
      <w:pPr>
        <w:widowControl/>
        <w:autoSpaceDE w:val="0"/>
        <w:autoSpaceDN w:val="0"/>
        <w:spacing w:line="600" w:lineRule="exact"/>
        <w:jc w:val="center"/>
        <w:textAlignment w:val="bottom"/>
        <w:rPr>
          <w:rFonts w:hint="eastAsia" w:ascii="仿宋_GB2312" w:hAnsi="仿宋_GB2312" w:eastAsia="仿宋_GB2312" w:cs="仿宋_GB2312"/>
          <w:sz w:val="30"/>
          <w:szCs w:val="30"/>
        </w:rPr>
      </w:pPr>
    </w:p>
    <w:p>
      <w:pPr>
        <w:widowControl/>
        <w:autoSpaceDE w:val="0"/>
        <w:autoSpaceDN w:val="0"/>
        <w:spacing w:before="240" w:line="600" w:lineRule="exact"/>
        <w:jc w:val="center"/>
        <w:textAlignment w:val="bottom"/>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比 选 申 请 文 件</w:t>
      </w:r>
    </w:p>
    <w:p>
      <w:pPr>
        <w:spacing w:line="600" w:lineRule="exact"/>
        <w:jc w:val="center"/>
        <w:outlineLvl w:val="1"/>
        <w:rPr>
          <w:rFonts w:hint="eastAsia" w:ascii="仿宋_GB2312" w:hAnsi="仿宋_GB2312" w:eastAsia="仿宋_GB2312" w:cs="仿宋_GB2312"/>
          <w:sz w:val="30"/>
          <w:szCs w:val="30"/>
        </w:rPr>
      </w:pPr>
      <w:r>
        <w:rPr>
          <w:rFonts w:hint="eastAsia" w:cs="仿宋" w:asciiTheme="minorEastAsia" w:hAnsiTheme="minorEastAsia" w:eastAsiaTheme="minorEastAsia"/>
          <w:b/>
          <w:color w:val="000000"/>
          <w:sz w:val="24"/>
        </w:rPr>
        <w:t>第</w:t>
      </w:r>
      <w:r>
        <w:rPr>
          <w:rFonts w:hint="eastAsia" w:cs="仿宋" w:asciiTheme="minorEastAsia" w:hAnsiTheme="minorEastAsia"/>
          <w:b/>
          <w:color w:val="000000"/>
          <w:sz w:val="24"/>
          <w:lang w:val="en-US" w:eastAsia="zh-CN"/>
        </w:rPr>
        <w:t>二</w:t>
      </w:r>
      <w:r>
        <w:rPr>
          <w:rFonts w:hint="eastAsia" w:cs="仿宋" w:asciiTheme="minorEastAsia" w:hAnsiTheme="minorEastAsia" w:eastAsiaTheme="minorEastAsia"/>
          <w:b/>
          <w:color w:val="000000"/>
          <w:sz w:val="24"/>
        </w:rPr>
        <w:t>个信封（</w:t>
      </w:r>
      <w:r>
        <w:rPr>
          <w:rFonts w:hint="eastAsia" w:cs="仿宋" w:asciiTheme="minorEastAsia" w:hAnsiTheme="minorEastAsia"/>
          <w:b/>
          <w:color w:val="000000"/>
          <w:sz w:val="24"/>
          <w:lang w:val="en-US" w:eastAsia="zh-CN"/>
        </w:rPr>
        <w:t>报价</w:t>
      </w:r>
      <w:r>
        <w:rPr>
          <w:rFonts w:hint="eastAsia" w:cs="仿宋" w:asciiTheme="minorEastAsia" w:hAnsiTheme="minorEastAsia" w:eastAsiaTheme="minorEastAsia"/>
          <w:b/>
          <w:color w:val="000000"/>
          <w:sz w:val="24"/>
        </w:rPr>
        <w:t>文件）</w:t>
      </w:r>
    </w:p>
    <w:p>
      <w:pPr>
        <w:spacing w:line="600" w:lineRule="exact"/>
        <w:jc w:val="center"/>
        <w:rPr>
          <w:rFonts w:hint="eastAsia" w:ascii="仿宋_GB2312" w:hAnsi="仿宋_GB2312" w:eastAsia="仿宋_GB2312" w:cs="仿宋_GB2312"/>
          <w:sz w:val="30"/>
          <w:szCs w:val="30"/>
        </w:rPr>
      </w:pPr>
    </w:p>
    <w:p>
      <w:pPr>
        <w:spacing w:line="600" w:lineRule="exact"/>
        <w:jc w:val="center"/>
        <w:rPr>
          <w:rFonts w:hint="eastAsia" w:ascii="仿宋_GB2312" w:hAnsi="仿宋_GB2312" w:eastAsia="仿宋_GB2312" w:cs="仿宋_GB2312"/>
          <w:sz w:val="30"/>
          <w:szCs w:val="30"/>
        </w:rPr>
      </w:pPr>
    </w:p>
    <w:p>
      <w:pPr>
        <w:spacing w:line="600" w:lineRule="exact"/>
        <w:jc w:val="center"/>
        <w:rPr>
          <w:rFonts w:hint="eastAsia" w:ascii="仿宋_GB2312" w:hAnsi="仿宋_GB2312" w:eastAsia="仿宋_GB2312" w:cs="仿宋_GB2312"/>
          <w:sz w:val="30"/>
          <w:szCs w:val="30"/>
        </w:rPr>
      </w:pPr>
    </w:p>
    <w:p>
      <w:pPr>
        <w:spacing w:line="600" w:lineRule="exact"/>
        <w:ind w:firstLine="2250" w:firstLineChars="750"/>
        <w:jc w:val="left"/>
        <w:rPr>
          <w:rFonts w:hint="eastAsia" w:ascii="仿宋_GB2312" w:hAnsi="仿宋_GB2312" w:eastAsia="仿宋_GB2312" w:cs="仿宋_GB2312"/>
          <w:sz w:val="30"/>
          <w:szCs w:val="30"/>
        </w:rPr>
      </w:pPr>
    </w:p>
    <w:p>
      <w:pPr>
        <w:spacing w:line="600" w:lineRule="exact"/>
        <w:ind w:firstLine="2250" w:firstLineChars="750"/>
        <w:jc w:val="left"/>
        <w:rPr>
          <w:rFonts w:hint="eastAsia" w:ascii="仿宋_GB2312" w:hAnsi="仿宋_GB2312" w:eastAsia="仿宋_GB2312" w:cs="仿宋_GB2312"/>
          <w:sz w:val="30"/>
          <w:szCs w:val="30"/>
        </w:rPr>
      </w:pPr>
    </w:p>
    <w:p>
      <w:pPr>
        <w:spacing w:line="6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比选申请人</w:t>
      </w:r>
      <w:r>
        <w:rPr>
          <w:rFonts w:hint="eastAsia" w:ascii="仿宋_GB2312" w:hAnsi="仿宋_GB2312" w:eastAsia="仿宋_GB2312" w:cs="仿宋_GB2312"/>
          <w:sz w:val="30"/>
          <w:szCs w:val="30"/>
          <w:u w:val="single"/>
        </w:rPr>
        <w:t>：                （单位全称、加盖公章）</w:t>
      </w:r>
      <w:r>
        <w:rPr>
          <w:rFonts w:hint="eastAsia" w:ascii="仿宋_GB2312" w:hAnsi="仿宋_GB2312" w:eastAsia="仿宋_GB2312" w:cs="仿宋_GB2312"/>
          <w:sz w:val="30"/>
          <w:szCs w:val="30"/>
        </w:rPr>
        <w:t xml:space="preserve"> </w:t>
      </w:r>
    </w:p>
    <w:p>
      <w:pPr>
        <w:spacing w:before="120" w:beforeLines="50" w:line="6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pPr>
        <w:spacing w:before="0" w:beforeLines="-2147483648" w:line="240" w:lineRule="auto"/>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br w:type="page"/>
      </w:r>
    </w:p>
    <w:p>
      <w:pPr>
        <w:pStyle w:val="2"/>
        <w:rPr>
          <w:rFonts w:hint="eastAsia"/>
        </w:rPr>
      </w:pPr>
    </w:p>
    <w:p>
      <w:pPr>
        <w:pStyle w:val="7"/>
        <w:spacing w:beforeLines="50" w:afterLines="50" w:line="360" w:lineRule="auto"/>
        <w:ind w:firstLineChars="0"/>
        <w:jc w:val="center"/>
        <w:rPr>
          <w:rFonts w:hint="eastAsia" w:cs="仿宋" w:asciiTheme="minorEastAsia" w:hAnsiTheme="minorEastAsia" w:eastAsiaTheme="minorEastAsia"/>
          <w:color w:val="000000"/>
          <w:sz w:val="32"/>
          <w:szCs w:val="32"/>
          <w:lang w:eastAsia="zh-CN"/>
        </w:rPr>
      </w:pPr>
      <w:r>
        <w:rPr>
          <w:rFonts w:hint="eastAsia" w:cs="仿宋" w:asciiTheme="minorEastAsia" w:hAnsiTheme="minorEastAsia" w:eastAsiaTheme="minorEastAsia"/>
          <w:color w:val="000000"/>
          <w:sz w:val="32"/>
          <w:szCs w:val="32"/>
        </w:rPr>
        <w:t>一、报价函</w:t>
      </w:r>
      <w:r>
        <w:rPr>
          <w:rFonts w:hint="eastAsia" w:cs="仿宋" w:asciiTheme="minorEastAsia" w:hAnsiTheme="minorEastAsia" w:eastAsiaTheme="minorEastAsia"/>
          <w:color w:val="000000"/>
          <w:sz w:val="32"/>
          <w:szCs w:val="32"/>
          <w:lang w:eastAsia="zh-CN"/>
        </w:rPr>
        <w:t>（</w:t>
      </w:r>
      <w:r>
        <w:rPr>
          <w:rFonts w:hint="eastAsia" w:cs="仿宋" w:asciiTheme="minorEastAsia" w:hAnsiTheme="minorEastAsia" w:eastAsiaTheme="minorEastAsia"/>
          <w:color w:val="000000"/>
          <w:sz w:val="32"/>
          <w:szCs w:val="32"/>
          <w:lang w:val="en-US" w:eastAsia="zh-CN"/>
        </w:rPr>
        <w:t>第二信封</w:t>
      </w:r>
      <w:r>
        <w:rPr>
          <w:rFonts w:hint="eastAsia" w:cs="仿宋" w:asciiTheme="minorEastAsia" w:hAnsiTheme="minorEastAsia" w:eastAsiaTheme="minorEastAsia"/>
          <w:color w:val="000000"/>
          <w:sz w:val="32"/>
          <w:szCs w:val="32"/>
          <w:lang w:eastAsia="zh-CN"/>
        </w:rPr>
        <w:t>）</w:t>
      </w:r>
    </w:p>
    <w:p>
      <w:pPr>
        <w:spacing w:line="360" w:lineRule="auto"/>
        <w:ind w:left="420" w:firstLine="0" w:firstLineChars="0"/>
        <w:rPr>
          <w:rFonts w:cs="仿宋" w:asciiTheme="minorEastAsia" w:hAnsiTheme="minorEastAsia" w:eastAsiaTheme="minorEastAsia"/>
          <w:color w:val="000000"/>
        </w:rPr>
      </w:pPr>
    </w:p>
    <w:p>
      <w:pPr>
        <w:spacing w:line="360" w:lineRule="auto"/>
        <w:ind w:firstLine="0" w:firstLineChars="0"/>
        <w:rPr>
          <w:rFonts w:hint="eastAsia" w:cs="仿宋" w:asciiTheme="minorEastAsia" w:hAnsiTheme="minorEastAsia" w:eastAsiaTheme="minorEastAsia"/>
          <w:color w:val="000000"/>
          <w:u w:val="single"/>
          <w:lang w:eastAsia="zh-CN"/>
        </w:rPr>
      </w:pPr>
      <w:r>
        <w:rPr>
          <w:rFonts w:hint="eastAsia" w:cs="仿宋" w:asciiTheme="minorEastAsia" w:hAnsiTheme="minorEastAsia" w:eastAsiaTheme="minorEastAsia"/>
          <w:color w:val="000000"/>
        </w:rPr>
        <w:t>致：</w:t>
      </w:r>
      <w:r>
        <w:rPr>
          <w:rFonts w:hint="eastAsia" w:cs="仿宋" w:asciiTheme="minorEastAsia" w:hAnsiTheme="minorEastAsia" w:eastAsiaTheme="minorEastAsia"/>
          <w:color w:val="000000"/>
          <w:u w:val="single"/>
        </w:rPr>
        <w:t>（比选人全称）</w:t>
      </w:r>
    </w:p>
    <w:p>
      <w:pPr>
        <w:spacing w:line="360" w:lineRule="auto"/>
        <w:ind w:firstLine="420"/>
        <w:rPr>
          <w:rFonts w:hint="eastAsia" w:cs="仿宋" w:asciiTheme="minorEastAsia" w:hAnsiTheme="minorEastAsia" w:eastAsiaTheme="minorEastAsia"/>
        </w:rPr>
      </w:pPr>
      <w:r>
        <w:rPr>
          <w:rFonts w:hint="eastAsia" w:cs="仿宋" w:asciiTheme="minorEastAsia" w:hAnsiTheme="minorEastAsia"/>
          <w:color w:val="000000"/>
          <w:spacing w:val="-4"/>
          <w:lang w:val="en-US" w:eastAsia="zh-CN"/>
        </w:rPr>
        <w:t>1.</w:t>
      </w:r>
      <w:r>
        <w:rPr>
          <w:rFonts w:hint="eastAsia" w:cs="仿宋" w:asciiTheme="minorEastAsia" w:hAnsiTheme="minorEastAsia" w:eastAsiaTheme="minorEastAsia"/>
          <w:color w:val="000000"/>
          <w:spacing w:val="-4"/>
        </w:rPr>
        <w:t>经现场踏勘并仔细研究了</w:t>
      </w:r>
      <w:r>
        <w:rPr>
          <w:rFonts w:hint="eastAsia" w:cs="仿宋" w:asciiTheme="minorEastAsia" w:hAnsiTheme="minorEastAsia" w:eastAsiaTheme="minorEastAsia"/>
          <w:color w:val="000000"/>
          <w:szCs w:val="21"/>
          <w:u w:val="single"/>
        </w:rPr>
        <w:tab/>
      </w:r>
      <w:r>
        <w:rPr>
          <w:rFonts w:hint="eastAsia" w:cs="仿宋" w:asciiTheme="minorEastAsia" w:hAnsiTheme="minorEastAsia" w:eastAsiaTheme="minorEastAsia"/>
          <w:color w:val="000000"/>
          <w:szCs w:val="21"/>
          <w:u w:val="single"/>
        </w:rPr>
        <w:tab/>
      </w:r>
      <w:r>
        <w:rPr>
          <w:rFonts w:hint="eastAsia" w:cs="仿宋" w:asciiTheme="minorEastAsia" w:hAnsiTheme="minorEastAsia" w:eastAsiaTheme="minorEastAsia"/>
          <w:color w:val="000000"/>
          <w:szCs w:val="21"/>
        </w:rPr>
        <w:t>（项目名称</w:t>
      </w:r>
      <w:r>
        <w:rPr>
          <w:rFonts w:hint="eastAsia" w:cs="仿宋" w:asciiTheme="minorEastAsia" w:hAnsiTheme="minorEastAsia" w:eastAsiaTheme="minorEastAsia"/>
          <w:color w:val="000000"/>
          <w:szCs w:val="21"/>
          <w:lang w:eastAsia="zh-CN"/>
        </w:rPr>
        <w:t>、</w:t>
      </w:r>
      <w:r>
        <w:rPr>
          <w:rFonts w:hint="eastAsia" w:cs="仿宋" w:asciiTheme="minorEastAsia" w:hAnsiTheme="minorEastAsia" w:eastAsiaTheme="minorEastAsia"/>
          <w:color w:val="000000"/>
          <w:szCs w:val="21"/>
          <w:lang w:val="en-US" w:eastAsia="zh-CN"/>
        </w:rPr>
        <w:t>标段号</w:t>
      </w:r>
      <w:r>
        <w:rPr>
          <w:rFonts w:hint="eastAsia" w:cs="仿宋" w:asciiTheme="minorEastAsia" w:hAnsiTheme="minorEastAsia" w:eastAsiaTheme="minorEastAsia"/>
          <w:color w:val="000000"/>
          <w:spacing w:val="-25"/>
          <w:szCs w:val="21"/>
        </w:rPr>
        <w:t>）</w:t>
      </w:r>
      <w:r>
        <w:rPr>
          <w:rFonts w:hint="eastAsia" w:cs="仿宋" w:asciiTheme="minorEastAsia" w:hAnsiTheme="minorEastAsia" w:eastAsiaTheme="minorEastAsia"/>
          <w:color w:val="000000"/>
          <w:spacing w:val="-4"/>
        </w:rPr>
        <w:t>比选文件的全部内容（含补遗书第</w:t>
      </w:r>
      <w:r>
        <w:rPr>
          <w:rFonts w:hint="eastAsia" w:cs="仿宋" w:asciiTheme="minorEastAsia" w:hAnsiTheme="minorEastAsia" w:eastAsiaTheme="minorEastAsia"/>
          <w:color w:val="000000"/>
          <w:spacing w:val="-4"/>
          <w:u w:val="single"/>
          <w:lang w:val="en-US" w:eastAsia="zh-CN"/>
        </w:rPr>
        <w:t xml:space="preserve">   </w:t>
      </w:r>
      <w:r>
        <w:rPr>
          <w:rFonts w:hint="eastAsia" w:cs="仿宋" w:asciiTheme="minorEastAsia" w:hAnsiTheme="minorEastAsia" w:eastAsiaTheme="minorEastAsia"/>
          <w:color w:val="000000"/>
          <w:spacing w:val="-4"/>
        </w:rPr>
        <w:t>号至第</w:t>
      </w:r>
      <w:r>
        <w:rPr>
          <w:rFonts w:hint="eastAsia" w:cs="仿宋" w:asciiTheme="minorEastAsia" w:hAnsiTheme="minorEastAsia" w:eastAsiaTheme="minorEastAsia"/>
          <w:color w:val="000000"/>
          <w:spacing w:val="-4"/>
          <w:u w:val="single"/>
          <w:lang w:val="en-US" w:eastAsia="zh-CN"/>
        </w:rPr>
        <w:t xml:space="preserve">   </w:t>
      </w:r>
      <w:r>
        <w:rPr>
          <w:rFonts w:hint="eastAsia" w:cs="仿宋" w:asciiTheme="minorEastAsia" w:hAnsiTheme="minorEastAsia" w:eastAsiaTheme="minorEastAsia"/>
          <w:color w:val="000000"/>
          <w:spacing w:val="-4"/>
        </w:rPr>
        <w:t>号），我方就上述任务及相关服务提出报价申请。我方愿意以     元（小写：     元）人民币（报价金额保留2位小数）报价作为服务费，承担合同约定的技术服务工作。</w:t>
      </w:r>
    </w:p>
    <w:p>
      <w:pPr>
        <w:spacing w:line="360" w:lineRule="auto"/>
        <w:ind w:firstLine="420"/>
        <w:rPr>
          <w:rFonts w:cs="仿宋" w:asciiTheme="minorEastAsia" w:hAnsiTheme="minorEastAsia" w:eastAsiaTheme="minorEastAsia"/>
        </w:rPr>
      </w:pPr>
      <w:r>
        <w:rPr>
          <w:rFonts w:hint="eastAsia" w:cs="仿宋" w:asciiTheme="minorEastAsia" w:hAnsiTheme="minorEastAsia" w:eastAsiaTheme="minorEastAsia"/>
        </w:rPr>
        <w:t>上述费用对本次技术服务费报价为固定价，合同期间不调价，该价格包括但不限于全过程技术咨询服务费、人工费、成果编制费、材料费、设备费、差旅费、</w:t>
      </w:r>
      <w:r>
        <w:rPr>
          <w:rFonts w:hint="eastAsia" w:cs="仿宋" w:asciiTheme="minorEastAsia" w:hAnsiTheme="minorEastAsia"/>
          <w:lang w:val="en-US" w:eastAsia="zh-CN"/>
        </w:rPr>
        <w:t>交通费、高速公司过路费、</w:t>
      </w:r>
      <w:r>
        <w:rPr>
          <w:rFonts w:hint="eastAsia" w:cs="仿宋" w:asciiTheme="minorEastAsia" w:hAnsiTheme="minorEastAsia" w:eastAsiaTheme="minorEastAsia"/>
        </w:rPr>
        <w:t>管理费、专家评审费、利润、税金、不可预见费等一切费用以及合同表明的所有责任、义务和一般风险。</w:t>
      </w:r>
    </w:p>
    <w:p>
      <w:pPr>
        <w:spacing w:line="360" w:lineRule="auto"/>
        <w:ind w:firstLine="404"/>
        <w:rPr>
          <w:rFonts w:cs="仿宋" w:asciiTheme="minorEastAsia" w:hAnsiTheme="minorEastAsia" w:eastAsiaTheme="minorEastAsia"/>
          <w:spacing w:val="-4"/>
        </w:rPr>
      </w:pPr>
      <w:r>
        <w:rPr>
          <w:rFonts w:hint="eastAsia" w:cs="仿宋" w:asciiTheme="minorEastAsia" w:hAnsiTheme="minorEastAsia" w:eastAsiaTheme="minorEastAsia"/>
          <w:spacing w:val="-4"/>
        </w:rPr>
        <w:t>2．在合同协议书正式签署生效之前，本报价函连同你方发出的中选通知书将构成我们双方之间共同遵守的文件，对双方具有约束力。</w:t>
      </w:r>
    </w:p>
    <w:p>
      <w:pPr>
        <w:spacing w:line="360" w:lineRule="auto"/>
        <w:ind w:firstLine="420"/>
        <w:rPr>
          <w:rFonts w:cs="仿宋" w:asciiTheme="minorEastAsia" w:hAnsiTheme="minorEastAsia" w:eastAsiaTheme="minorEastAsia"/>
        </w:rPr>
      </w:pPr>
      <w:r>
        <w:rPr>
          <w:rFonts w:hint="eastAsia" w:cs="仿宋" w:asciiTheme="minorEastAsia" w:hAnsiTheme="minorEastAsia" w:eastAsiaTheme="minorEastAsia"/>
          <w:szCs w:val="21"/>
        </w:rPr>
        <w:t>3．其他要求</w:t>
      </w:r>
      <w:r>
        <w:rPr>
          <w:rFonts w:hint="eastAsia" w:cs="仿宋" w:asciiTheme="minorEastAsia" w:hAnsiTheme="minorEastAsia" w:eastAsiaTheme="minorEastAsia"/>
          <w:szCs w:val="21"/>
          <w:lang w:val="en-US" w:eastAsia="zh-CN"/>
        </w:rPr>
        <w:t>响应</w:t>
      </w:r>
      <w:r>
        <w:rPr>
          <w:rFonts w:hint="eastAsia" w:cs="仿宋" w:asciiTheme="minorEastAsia" w:hAnsiTheme="minorEastAsia" w:eastAsiaTheme="minorEastAsia"/>
          <w:szCs w:val="21"/>
        </w:rPr>
        <w:t>详见</w:t>
      </w:r>
      <w:r>
        <w:rPr>
          <w:rFonts w:hint="eastAsia" w:cs="仿宋" w:asciiTheme="minorEastAsia" w:hAnsiTheme="minorEastAsia" w:eastAsiaTheme="minorEastAsia"/>
          <w:szCs w:val="21"/>
          <w:lang w:val="en-US" w:eastAsia="zh-CN"/>
        </w:rPr>
        <w:t>比选申请</w:t>
      </w:r>
      <w:r>
        <w:rPr>
          <w:rFonts w:hint="eastAsia" w:cs="仿宋" w:asciiTheme="minorEastAsia" w:hAnsiTheme="minorEastAsia" w:eastAsiaTheme="minorEastAsia"/>
          <w:szCs w:val="21"/>
        </w:rPr>
        <w:t>函</w:t>
      </w:r>
      <w:r>
        <w:rPr>
          <w:rFonts w:hint="eastAsia" w:cs="仿宋" w:asciiTheme="minorEastAsia" w:hAnsiTheme="minorEastAsia" w:eastAsiaTheme="minorEastAsia"/>
          <w:szCs w:val="21"/>
          <w:lang w:eastAsia="zh-CN"/>
        </w:rPr>
        <w:t>（</w:t>
      </w:r>
      <w:r>
        <w:rPr>
          <w:rFonts w:hint="eastAsia" w:cs="仿宋" w:asciiTheme="minorEastAsia" w:hAnsiTheme="minorEastAsia" w:eastAsiaTheme="minorEastAsia"/>
          <w:szCs w:val="21"/>
          <w:lang w:val="en-US" w:eastAsia="zh-CN"/>
        </w:rPr>
        <w:t>第一信封</w:t>
      </w:r>
      <w:r>
        <w:rPr>
          <w:rFonts w:hint="eastAsia" w:cs="仿宋" w:asciiTheme="minorEastAsia" w:hAnsiTheme="minorEastAsia" w:eastAsiaTheme="minorEastAsia"/>
          <w:szCs w:val="21"/>
          <w:lang w:eastAsia="zh-CN"/>
        </w:rPr>
        <w:t>）</w:t>
      </w:r>
      <w:r>
        <w:rPr>
          <w:rFonts w:hint="eastAsia" w:cs="仿宋" w:asciiTheme="minorEastAsia" w:hAnsiTheme="minorEastAsia" w:eastAsiaTheme="minorEastAsia"/>
          <w:szCs w:val="21"/>
        </w:rPr>
        <w:t>。</w:t>
      </w:r>
    </w:p>
    <w:p>
      <w:pPr>
        <w:ind w:firstLine="420"/>
        <w:jc w:val="right"/>
        <w:rPr>
          <w:rFonts w:cs="仿宋" w:asciiTheme="minorEastAsia" w:hAnsiTheme="minorEastAsia" w:eastAsiaTheme="minorEastAsia"/>
        </w:rPr>
      </w:pPr>
    </w:p>
    <w:p>
      <w:pPr>
        <w:ind w:firstLine="422"/>
        <w:jc w:val="right"/>
        <w:rPr>
          <w:rFonts w:cs="仿宋" w:asciiTheme="minorEastAsia" w:hAnsiTheme="minorEastAsia" w:eastAsiaTheme="minorEastAsia"/>
          <w:b/>
        </w:rPr>
      </w:pPr>
    </w:p>
    <w:p>
      <w:pPr>
        <w:ind w:firstLine="422"/>
        <w:jc w:val="right"/>
        <w:rPr>
          <w:rFonts w:cs="仿宋" w:asciiTheme="minorEastAsia" w:hAnsiTheme="minorEastAsia" w:eastAsiaTheme="minorEastAsia"/>
          <w:b/>
        </w:rPr>
      </w:pPr>
    </w:p>
    <w:p>
      <w:pPr>
        <w:ind w:firstLine="422"/>
        <w:jc w:val="right"/>
        <w:rPr>
          <w:rFonts w:cs="仿宋" w:asciiTheme="minorEastAsia" w:hAnsiTheme="minorEastAsia" w:eastAsiaTheme="minorEastAsia"/>
          <w:b/>
        </w:rPr>
      </w:pPr>
    </w:p>
    <w:p>
      <w:pPr>
        <w:ind w:firstLine="422"/>
        <w:jc w:val="right"/>
        <w:rPr>
          <w:rFonts w:cs="仿宋" w:asciiTheme="minorEastAsia" w:hAnsiTheme="minorEastAsia" w:eastAsiaTheme="minorEastAsia"/>
          <w:b/>
        </w:rPr>
      </w:pPr>
    </w:p>
    <w:p>
      <w:pPr>
        <w:ind w:firstLine="422"/>
        <w:jc w:val="center"/>
        <w:rPr>
          <w:rFonts w:cs="仿宋" w:asciiTheme="minorEastAsia" w:hAnsiTheme="minorEastAsia" w:eastAsiaTheme="minorEastAsia"/>
          <w:b/>
          <w:u w:val="single"/>
        </w:rPr>
      </w:pPr>
      <w:r>
        <w:rPr>
          <w:rFonts w:hint="eastAsia" w:cs="仿宋" w:asciiTheme="minorEastAsia" w:hAnsiTheme="minorEastAsia" w:eastAsiaTheme="minorEastAsia"/>
          <w:b/>
          <w:lang w:val="en-US" w:eastAsia="zh-CN"/>
        </w:rPr>
        <w:t xml:space="preserve">                   比选申请</w:t>
      </w:r>
      <w:r>
        <w:rPr>
          <w:rFonts w:hint="eastAsia" w:cs="仿宋" w:asciiTheme="minorEastAsia" w:hAnsiTheme="minorEastAsia" w:eastAsiaTheme="minorEastAsia"/>
          <w:b/>
        </w:rPr>
        <w:t>人：</w:t>
      </w:r>
      <w:r>
        <w:rPr>
          <w:rFonts w:hint="eastAsia" w:cs="仿宋" w:asciiTheme="minorEastAsia" w:hAnsiTheme="minorEastAsia" w:eastAsiaTheme="minorEastAsia"/>
          <w:b/>
          <w:u w:val="single"/>
        </w:rPr>
        <w:t>（全称）（盖单位章）</w:t>
      </w:r>
    </w:p>
    <w:p>
      <w:pPr>
        <w:ind w:firstLine="4216" w:firstLineChars="2000"/>
        <w:rPr>
          <w:rFonts w:hint="eastAsia" w:cs="仿宋" w:asciiTheme="minorEastAsia" w:hAnsiTheme="minorEastAsia" w:eastAsiaTheme="minorEastAsia"/>
          <w:b/>
          <w:color w:val="000000"/>
        </w:rPr>
      </w:pPr>
    </w:p>
    <w:p>
      <w:pPr>
        <w:ind w:firstLine="4216" w:firstLineChars="2000"/>
        <w:rPr>
          <w:rFonts w:hint="eastAsia" w:cs="仿宋" w:asciiTheme="minorEastAsia" w:hAnsiTheme="minorEastAsia" w:eastAsiaTheme="minorEastAsia"/>
          <w:b/>
          <w:color w:val="000000"/>
          <w:u w:val="none"/>
          <w:lang w:eastAsia="zh-CN"/>
        </w:rPr>
      </w:pPr>
      <w:r>
        <w:rPr>
          <w:rFonts w:hint="eastAsia" w:cs="仿宋" w:asciiTheme="minorEastAsia" w:hAnsiTheme="minorEastAsia" w:eastAsiaTheme="minorEastAsia"/>
          <w:b/>
          <w:color w:val="000000"/>
        </w:rPr>
        <w:t>法定代表人或其授权的代理人</w:t>
      </w:r>
      <w:r>
        <w:rPr>
          <w:rFonts w:hint="eastAsia" w:cs="仿宋" w:asciiTheme="minorEastAsia" w:hAnsiTheme="minorEastAsia" w:eastAsiaTheme="minorEastAsia"/>
          <w:b/>
          <w:color w:val="000000"/>
          <w:lang w:val="en-US" w:eastAsia="zh-CN"/>
        </w:rPr>
        <w:t>：</w:t>
      </w:r>
      <w:r>
        <w:rPr>
          <w:rFonts w:hint="eastAsia" w:cs="仿宋" w:asciiTheme="minorEastAsia" w:hAnsiTheme="minorEastAsia" w:eastAsiaTheme="minorEastAsia"/>
          <w:b/>
          <w:color w:val="000000"/>
          <w:u w:val="single"/>
          <w:lang w:val="en-US" w:eastAsia="zh-CN"/>
        </w:rPr>
        <w:t xml:space="preserve">      </w:t>
      </w:r>
      <w:r>
        <w:rPr>
          <w:rFonts w:hint="eastAsia" w:cs="仿宋" w:asciiTheme="minorEastAsia" w:hAnsiTheme="minorEastAsia" w:eastAsiaTheme="minorEastAsia"/>
          <w:b/>
          <w:color w:val="000000"/>
          <w:u w:val="none"/>
        </w:rPr>
        <w:t>（签字）</w:t>
      </w:r>
    </w:p>
    <w:p>
      <w:pPr>
        <w:ind w:right="1050" w:firstLine="420"/>
        <w:jc w:val="right"/>
        <w:rPr>
          <w:rFonts w:hint="eastAsia" w:cs="仿宋" w:asciiTheme="minorEastAsia" w:hAnsiTheme="minorEastAsia" w:eastAsiaTheme="minorEastAsia"/>
          <w:b/>
          <w:bCs/>
          <w:color w:val="000000"/>
        </w:rPr>
      </w:pPr>
    </w:p>
    <w:p>
      <w:pPr>
        <w:ind w:right="1050" w:firstLine="420"/>
        <w:jc w:val="right"/>
        <w:rPr>
          <w:rFonts w:cs="仿宋" w:asciiTheme="minorEastAsia" w:hAnsiTheme="minorEastAsia" w:eastAsiaTheme="minorEastAsia"/>
          <w:b/>
          <w:bCs/>
          <w:color w:val="000000"/>
        </w:rPr>
      </w:pPr>
      <w:r>
        <w:rPr>
          <w:rFonts w:hint="eastAsia" w:cs="仿宋" w:asciiTheme="minorEastAsia" w:hAnsiTheme="minorEastAsia" w:eastAsiaTheme="minorEastAsia"/>
          <w:b/>
          <w:bCs/>
          <w:color w:val="000000"/>
        </w:rPr>
        <w:t>日期：</w:t>
      </w:r>
      <w:r>
        <w:rPr>
          <w:rFonts w:hint="eastAsia" w:cs="仿宋" w:asciiTheme="minorEastAsia" w:hAnsiTheme="minorEastAsia" w:eastAsiaTheme="minorEastAsia"/>
          <w:b/>
          <w:bCs/>
          <w:color w:val="000000"/>
          <w:lang w:val="en-US" w:eastAsia="zh-CN"/>
        </w:rPr>
        <w:t xml:space="preserve">  </w:t>
      </w:r>
      <w:r>
        <w:rPr>
          <w:rFonts w:hint="eastAsia" w:cs="仿宋" w:asciiTheme="minorEastAsia" w:hAnsiTheme="minorEastAsia" w:eastAsiaTheme="minorEastAsia"/>
          <w:b/>
          <w:bCs/>
          <w:color w:val="000000"/>
        </w:rPr>
        <w:t>年</w:t>
      </w:r>
      <w:r>
        <w:rPr>
          <w:rFonts w:hint="eastAsia" w:cs="仿宋" w:asciiTheme="minorEastAsia" w:hAnsiTheme="minorEastAsia" w:eastAsiaTheme="minorEastAsia"/>
          <w:b/>
          <w:bCs/>
          <w:color w:val="000000"/>
          <w:lang w:val="en-US" w:eastAsia="zh-CN"/>
        </w:rPr>
        <w:t xml:space="preserve">  </w:t>
      </w:r>
      <w:r>
        <w:rPr>
          <w:rFonts w:hint="eastAsia" w:cs="仿宋" w:asciiTheme="minorEastAsia" w:hAnsiTheme="minorEastAsia" w:eastAsiaTheme="minorEastAsia"/>
          <w:b/>
          <w:bCs/>
          <w:color w:val="000000"/>
        </w:rPr>
        <w:t>月</w:t>
      </w:r>
      <w:r>
        <w:rPr>
          <w:rFonts w:hint="eastAsia" w:cs="仿宋" w:asciiTheme="minorEastAsia" w:hAnsiTheme="minorEastAsia" w:eastAsiaTheme="minorEastAsia"/>
          <w:b/>
          <w:bCs/>
          <w:color w:val="000000"/>
          <w:lang w:val="en-US" w:eastAsia="zh-CN"/>
        </w:rPr>
        <w:t xml:space="preserve">  </w:t>
      </w:r>
      <w:r>
        <w:rPr>
          <w:rFonts w:hint="eastAsia" w:cs="仿宋" w:asciiTheme="minorEastAsia" w:hAnsiTheme="minorEastAsia" w:eastAsiaTheme="minorEastAsia"/>
          <w:b/>
          <w:bCs/>
          <w:color w:val="000000"/>
        </w:rPr>
        <w:t>日</w:t>
      </w:r>
    </w:p>
    <w:p>
      <w:pPr>
        <w:pStyle w:val="2"/>
        <w:rPr>
          <w:rFonts w:hint="eastAsia"/>
        </w:rPr>
      </w:pPr>
    </w:p>
    <w:sectPr>
      <w:pgSz w:w="11911" w:h="16838"/>
      <w:pgMar w:top="1474" w:right="1474" w:bottom="1474" w:left="1474" w:header="799" w:footer="918"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3696335</wp:posOffset>
              </wp:positionH>
              <wp:positionV relativeFrom="page">
                <wp:posOffset>9969500</wp:posOffset>
              </wp:positionV>
              <wp:extent cx="170180" cy="1397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70180" cy="139700"/>
                      </a:xfrm>
                      <a:prstGeom prst="rect">
                        <a:avLst/>
                      </a:prstGeom>
                      <a:noFill/>
                      <a:ln>
                        <a:noFill/>
                      </a:ln>
                      <a:effectLst/>
                    </wps:spPr>
                    <wps:txbx>
                      <w:txbxContent>
                        <w:p>
                          <w:pPr>
                            <w:spacing w:line="220" w:lineRule="exact"/>
                            <w:ind w:left="45"/>
                            <w:jc w:val="left"/>
                            <w:rPr>
                              <w:sz w:val="18"/>
                            </w:rPr>
                          </w:pPr>
                        </w:p>
                      </w:txbxContent>
                    </wps:txbx>
                    <wps:bodyPr lIns="0" tIns="0" rIns="0" bIns="0" upright="1"/>
                  </wps:wsp>
                </a:graphicData>
              </a:graphic>
            </wp:anchor>
          </w:drawing>
        </mc:Choice>
        <mc:Fallback>
          <w:pict>
            <v:shape id="文本框 3" o:spid="_x0000_s1026" o:spt="202" type="#_x0000_t202" style="position:absolute;left:0pt;margin-left:291.05pt;margin-top:785pt;height:11pt;width:13.4pt;mso-position-horizontal-relative:page;mso-position-vertical-relative:page;z-index:-251657216;mso-width-relative:page;mso-height-relative:page;" filled="f" stroked="f" coordsize="21600,21600" o:gfxdata="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mRF8raAAAADQEAAA8AAAAAAAAAAQAgAAAAIgAAAGRycy9kb3ducmV2Lnht&#10;bFBLAQIUABQAAAAIAIdO4kCJWvYpvgEAAH8DAAAOAAAAAAAAAAEAIAAAACkBAABkcnMvZTJvRG9j&#10;LnhtbFBLBQYAAAAABgAGAFkBAABZBQAAAAA=&#10;">
              <v:fill on="f" focussize="0,0"/>
              <v:stroke on="f"/>
              <v:imagedata o:title=""/>
              <o:lock v:ext="edit" aspectratio="f"/>
              <v:textbox inset="0mm,0mm,0mm,0mm">
                <w:txbxContent>
                  <w:p>
                    <w:pPr>
                      <w:spacing w:line="220" w:lineRule="exact"/>
                      <w:ind w:left="45"/>
                      <w:jc w:val="left"/>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3696335</wp:posOffset>
              </wp:positionH>
              <wp:positionV relativeFrom="page">
                <wp:posOffset>9969500</wp:posOffset>
              </wp:positionV>
              <wp:extent cx="170180" cy="1397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70180" cy="139700"/>
                      </a:xfrm>
                      <a:prstGeom prst="rect">
                        <a:avLst/>
                      </a:prstGeom>
                      <a:noFill/>
                      <a:ln>
                        <a:noFill/>
                      </a:ln>
                      <a:effectLst/>
                    </wps:spPr>
                    <wps:txbx>
                      <w:txbxContent>
                        <w:p>
                          <w:pPr>
                            <w:spacing w:line="220" w:lineRule="exact"/>
                            <w:ind w:left="45"/>
                            <w:jc w:val="left"/>
                            <w:rPr>
                              <w:sz w:val="18"/>
                            </w:rPr>
                          </w:pPr>
                        </w:p>
                      </w:txbxContent>
                    </wps:txbx>
                    <wps:bodyPr lIns="0" tIns="0" rIns="0" bIns="0" upright="1"/>
                  </wps:wsp>
                </a:graphicData>
              </a:graphic>
            </wp:anchor>
          </w:drawing>
        </mc:Choice>
        <mc:Fallback>
          <w:pict>
            <v:shape id="文本框 3" o:spid="_x0000_s1026" o:spt="202" type="#_x0000_t202" style="position:absolute;left:0pt;margin-left:291.05pt;margin-top:785pt;height:11pt;width:13.4pt;mso-position-horizontal-relative:page;mso-position-vertical-relative:page;z-index:-251655168;mso-width-relative:page;mso-height-relative:page;" filled="f" stroked="f" coordsize="21600,21600" o:gfxdata="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mRF8raAAAADQEAAA8AAAAAAAAAAQAgAAAAIgAAAGRycy9kb3ducmV2Lnht&#10;bFBLAQIUABQAAAAIAIdO4kDii+kTvgEAAH8DAAAOAAAAAAAAAAEAIAAAACkBAABkcnMvZTJvRG9j&#10;LnhtbFBLBQYAAAAABgAGAFkBAABZBQAAAAA=&#10;">
              <v:fill on="f" focussize="0,0"/>
              <v:stroke on="f"/>
              <v:imagedata o:title=""/>
              <o:lock v:ext="edit" aspectratio="f"/>
              <v:textbox inset="0mm,0mm,0mm,0mm">
                <w:txbxContent>
                  <w:p>
                    <w:pPr>
                      <w:spacing w:line="220" w:lineRule="exact"/>
                      <w:ind w:left="45"/>
                      <w:jc w:val="left"/>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AF0A74"/>
    <w:multiLevelType w:val="singleLevel"/>
    <w:tmpl w:val="B1AF0A74"/>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孙强">
    <w15:presenceInfo w15:providerId="None" w15:userId="孙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JiYmMzNTczYzQ1NDNlYTI5ZDZlODBjMDYzOTQ4YjcifQ=="/>
  </w:docVars>
  <w:rsids>
    <w:rsidRoot w:val="6FED45F5"/>
    <w:rsid w:val="000009F2"/>
    <w:rsid w:val="000035A2"/>
    <w:rsid w:val="00003949"/>
    <w:rsid w:val="00005209"/>
    <w:rsid w:val="0000542F"/>
    <w:rsid w:val="00006463"/>
    <w:rsid w:val="00006590"/>
    <w:rsid w:val="000132AE"/>
    <w:rsid w:val="0001482F"/>
    <w:rsid w:val="00014BA4"/>
    <w:rsid w:val="00020EBE"/>
    <w:rsid w:val="0002102F"/>
    <w:rsid w:val="000230AD"/>
    <w:rsid w:val="00024A11"/>
    <w:rsid w:val="00025248"/>
    <w:rsid w:val="0002695A"/>
    <w:rsid w:val="00031794"/>
    <w:rsid w:val="00032857"/>
    <w:rsid w:val="00035CB1"/>
    <w:rsid w:val="00041ED6"/>
    <w:rsid w:val="00052519"/>
    <w:rsid w:val="00053AF0"/>
    <w:rsid w:val="000623D3"/>
    <w:rsid w:val="00063E03"/>
    <w:rsid w:val="00063FCB"/>
    <w:rsid w:val="000640FE"/>
    <w:rsid w:val="000660A6"/>
    <w:rsid w:val="00072419"/>
    <w:rsid w:val="00073DE0"/>
    <w:rsid w:val="000747AD"/>
    <w:rsid w:val="0008176B"/>
    <w:rsid w:val="000833A4"/>
    <w:rsid w:val="00086196"/>
    <w:rsid w:val="00087828"/>
    <w:rsid w:val="00090658"/>
    <w:rsid w:val="0009175B"/>
    <w:rsid w:val="000A1A73"/>
    <w:rsid w:val="000A1E82"/>
    <w:rsid w:val="000A75C2"/>
    <w:rsid w:val="000B07B8"/>
    <w:rsid w:val="000B0964"/>
    <w:rsid w:val="000B7131"/>
    <w:rsid w:val="000C1BFD"/>
    <w:rsid w:val="000C390F"/>
    <w:rsid w:val="000D3D7E"/>
    <w:rsid w:val="000D7273"/>
    <w:rsid w:val="000E008E"/>
    <w:rsid w:val="000E159C"/>
    <w:rsid w:val="000E3144"/>
    <w:rsid w:val="000E47E5"/>
    <w:rsid w:val="000E4B9C"/>
    <w:rsid w:val="000F0E0C"/>
    <w:rsid w:val="000F5419"/>
    <w:rsid w:val="000F6A00"/>
    <w:rsid w:val="001005E7"/>
    <w:rsid w:val="00102598"/>
    <w:rsid w:val="001048D7"/>
    <w:rsid w:val="001120CD"/>
    <w:rsid w:val="00114504"/>
    <w:rsid w:val="00122A2C"/>
    <w:rsid w:val="0012513C"/>
    <w:rsid w:val="00131C13"/>
    <w:rsid w:val="0013469A"/>
    <w:rsid w:val="00135ABC"/>
    <w:rsid w:val="001369AD"/>
    <w:rsid w:val="0014084C"/>
    <w:rsid w:val="00150263"/>
    <w:rsid w:val="00150972"/>
    <w:rsid w:val="00152989"/>
    <w:rsid w:val="00155ADC"/>
    <w:rsid w:val="00156B8B"/>
    <w:rsid w:val="00160D6D"/>
    <w:rsid w:val="00162935"/>
    <w:rsid w:val="00162B6D"/>
    <w:rsid w:val="0016797C"/>
    <w:rsid w:val="0017022E"/>
    <w:rsid w:val="00170656"/>
    <w:rsid w:val="00173960"/>
    <w:rsid w:val="00175517"/>
    <w:rsid w:val="00186613"/>
    <w:rsid w:val="00187D14"/>
    <w:rsid w:val="001928B9"/>
    <w:rsid w:val="00195314"/>
    <w:rsid w:val="001A049A"/>
    <w:rsid w:val="001A0614"/>
    <w:rsid w:val="001A1D82"/>
    <w:rsid w:val="001A7FD9"/>
    <w:rsid w:val="001B0341"/>
    <w:rsid w:val="001B33BF"/>
    <w:rsid w:val="001C1846"/>
    <w:rsid w:val="001C350B"/>
    <w:rsid w:val="001D2317"/>
    <w:rsid w:val="001D56A8"/>
    <w:rsid w:val="001D689F"/>
    <w:rsid w:val="001E5AB1"/>
    <w:rsid w:val="001F0D5D"/>
    <w:rsid w:val="001F1643"/>
    <w:rsid w:val="001F2271"/>
    <w:rsid w:val="001F464E"/>
    <w:rsid w:val="001F5E1B"/>
    <w:rsid w:val="001F61C3"/>
    <w:rsid w:val="001F7B55"/>
    <w:rsid w:val="0020067D"/>
    <w:rsid w:val="0020247E"/>
    <w:rsid w:val="002029CD"/>
    <w:rsid w:val="002037E1"/>
    <w:rsid w:val="00206056"/>
    <w:rsid w:val="00207ADF"/>
    <w:rsid w:val="00211450"/>
    <w:rsid w:val="00216710"/>
    <w:rsid w:val="00221C0B"/>
    <w:rsid w:val="00222305"/>
    <w:rsid w:val="002256BF"/>
    <w:rsid w:val="00236487"/>
    <w:rsid w:val="002500EB"/>
    <w:rsid w:val="00253976"/>
    <w:rsid w:val="002549D5"/>
    <w:rsid w:val="00261170"/>
    <w:rsid w:val="002622A9"/>
    <w:rsid w:val="00262846"/>
    <w:rsid w:val="00267506"/>
    <w:rsid w:val="00273B82"/>
    <w:rsid w:val="00274634"/>
    <w:rsid w:val="00276303"/>
    <w:rsid w:val="00277976"/>
    <w:rsid w:val="00280BD5"/>
    <w:rsid w:val="0028125E"/>
    <w:rsid w:val="00286178"/>
    <w:rsid w:val="0028661C"/>
    <w:rsid w:val="002939AB"/>
    <w:rsid w:val="00296937"/>
    <w:rsid w:val="002A05A1"/>
    <w:rsid w:val="002A1457"/>
    <w:rsid w:val="002A7026"/>
    <w:rsid w:val="002A729F"/>
    <w:rsid w:val="002A7958"/>
    <w:rsid w:val="002B3428"/>
    <w:rsid w:val="002B4F93"/>
    <w:rsid w:val="002C024A"/>
    <w:rsid w:val="002C278D"/>
    <w:rsid w:val="002C2F0C"/>
    <w:rsid w:val="002D25B7"/>
    <w:rsid w:val="002D28AA"/>
    <w:rsid w:val="002D2A72"/>
    <w:rsid w:val="002D2B3F"/>
    <w:rsid w:val="002D36A1"/>
    <w:rsid w:val="002D465F"/>
    <w:rsid w:val="002E259A"/>
    <w:rsid w:val="002E2925"/>
    <w:rsid w:val="002F57E2"/>
    <w:rsid w:val="00300A96"/>
    <w:rsid w:val="00301CA1"/>
    <w:rsid w:val="003020A1"/>
    <w:rsid w:val="0030486A"/>
    <w:rsid w:val="0031522B"/>
    <w:rsid w:val="003171E6"/>
    <w:rsid w:val="00317C80"/>
    <w:rsid w:val="00322FD4"/>
    <w:rsid w:val="003259A8"/>
    <w:rsid w:val="0033327F"/>
    <w:rsid w:val="00337209"/>
    <w:rsid w:val="0034418A"/>
    <w:rsid w:val="00355410"/>
    <w:rsid w:val="00356F6A"/>
    <w:rsid w:val="00357731"/>
    <w:rsid w:val="003616BE"/>
    <w:rsid w:val="00361EF6"/>
    <w:rsid w:val="00363861"/>
    <w:rsid w:val="00373A18"/>
    <w:rsid w:val="00374811"/>
    <w:rsid w:val="00375F49"/>
    <w:rsid w:val="00390C7F"/>
    <w:rsid w:val="003937C5"/>
    <w:rsid w:val="00395CA9"/>
    <w:rsid w:val="003962FC"/>
    <w:rsid w:val="00397800"/>
    <w:rsid w:val="003A056B"/>
    <w:rsid w:val="003A2212"/>
    <w:rsid w:val="003A383A"/>
    <w:rsid w:val="003A52DF"/>
    <w:rsid w:val="003B2672"/>
    <w:rsid w:val="003B77E1"/>
    <w:rsid w:val="003C28FE"/>
    <w:rsid w:val="003C406A"/>
    <w:rsid w:val="003D0FC2"/>
    <w:rsid w:val="003D187B"/>
    <w:rsid w:val="003D1F07"/>
    <w:rsid w:val="003D56E1"/>
    <w:rsid w:val="003D5BE9"/>
    <w:rsid w:val="003D5FD8"/>
    <w:rsid w:val="003D650F"/>
    <w:rsid w:val="003D66B3"/>
    <w:rsid w:val="003D6799"/>
    <w:rsid w:val="003D758E"/>
    <w:rsid w:val="003E38CE"/>
    <w:rsid w:val="003E4DFB"/>
    <w:rsid w:val="003F0790"/>
    <w:rsid w:val="003F28ED"/>
    <w:rsid w:val="003F4AFB"/>
    <w:rsid w:val="00400811"/>
    <w:rsid w:val="00400E16"/>
    <w:rsid w:val="004050FF"/>
    <w:rsid w:val="00410796"/>
    <w:rsid w:val="00412BDB"/>
    <w:rsid w:val="00412E3C"/>
    <w:rsid w:val="0041569D"/>
    <w:rsid w:val="00417ED6"/>
    <w:rsid w:val="00423704"/>
    <w:rsid w:val="00423B66"/>
    <w:rsid w:val="00425302"/>
    <w:rsid w:val="0043164E"/>
    <w:rsid w:val="00431E57"/>
    <w:rsid w:val="00436067"/>
    <w:rsid w:val="00442BCA"/>
    <w:rsid w:val="00447F2B"/>
    <w:rsid w:val="00452EFB"/>
    <w:rsid w:val="00453F37"/>
    <w:rsid w:val="00464666"/>
    <w:rsid w:val="00473F59"/>
    <w:rsid w:val="0047434A"/>
    <w:rsid w:val="00480D90"/>
    <w:rsid w:val="00484BAC"/>
    <w:rsid w:val="00487702"/>
    <w:rsid w:val="004877B7"/>
    <w:rsid w:val="00496FF3"/>
    <w:rsid w:val="00497782"/>
    <w:rsid w:val="004B006C"/>
    <w:rsid w:val="004C2E89"/>
    <w:rsid w:val="004C5AB9"/>
    <w:rsid w:val="004C7282"/>
    <w:rsid w:val="004C7DA9"/>
    <w:rsid w:val="004D0A19"/>
    <w:rsid w:val="004D3424"/>
    <w:rsid w:val="004D5238"/>
    <w:rsid w:val="004D729C"/>
    <w:rsid w:val="004E3DD6"/>
    <w:rsid w:val="004F02E2"/>
    <w:rsid w:val="004F5215"/>
    <w:rsid w:val="00504BA8"/>
    <w:rsid w:val="00510472"/>
    <w:rsid w:val="0051061D"/>
    <w:rsid w:val="005119A0"/>
    <w:rsid w:val="00512AB8"/>
    <w:rsid w:val="00515099"/>
    <w:rsid w:val="00522893"/>
    <w:rsid w:val="0052640D"/>
    <w:rsid w:val="00527200"/>
    <w:rsid w:val="00531461"/>
    <w:rsid w:val="0054075D"/>
    <w:rsid w:val="005444AC"/>
    <w:rsid w:val="005505E8"/>
    <w:rsid w:val="00552604"/>
    <w:rsid w:val="005540E5"/>
    <w:rsid w:val="005610E0"/>
    <w:rsid w:val="0057409B"/>
    <w:rsid w:val="00576F7E"/>
    <w:rsid w:val="00582952"/>
    <w:rsid w:val="00582B9B"/>
    <w:rsid w:val="00585187"/>
    <w:rsid w:val="00585818"/>
    <w:rsid w:val="00597F14"/>
    <w:rsid w:val="005A26FC"/>
    <w:rsid w:val="005B21F7"/>
    <w:rsid w:val="005B7923"/>
    <w:rsid w:val="005D3012"/>
    <w:rsid w:val="005D4AFB"/>
    <w:rsid w:val="005E0775"/>
    <w:rsid w:val="005E1B11"/>
    <w:rsid w:val="005E1F23"/>
    <w:rsid w:val="005E5C1B"/>
    <w:rsid w:val="005F2902"/>
    <w:rsid w:val="005F45F0"/>
    <w:rsid w:val="005F4F09"/>
    <w:rsid w:val="006064EB"/>
    <w:rsid w:val="006117A3"/>
    <w:rsid w:val="00624E91"/>
    <w:rsid w:val="00633ED3"/>
    <w:rsid w:val="00647257"/>
    <w:rsid w:val="006505AB"/>
    <w:rsid w:val="00653F00"/>
    <w:rsid w:val="00655433"/>
    <w:rsid w:val="00665D1D"/>
    <w:rsid w:val="00667CE9"/>
    <w:rsid w:val="0067097D"/>
    <w:rsid w:val="00673637"/>
    <w:rsid w:val="006739A1"/>
    <w:rsid w:val="00677CE1"/>
    <w:rsid w:val="00681E81"/>
    <w:rsid w:val="006914A6"/>
    <w:rsid w:val="00694956"/>
    <w:rsid w:val="00694F2B"/>
    <w:rsid w:val="0069733B"/>
    <w:rsid w:val="006A5490"/>
    <w:rsid w:val="006A744C"/>
    <w:rsid w:val="006A7E70"/>
    <w:rsid w:val="006B003B"/>
    <w:rsid w:val="006B1E7B"/>
    <w:rsid w:val="006B4071"/>
    <w:rsid w:val="006B7D64"/>
    <w:rsid w:val="006C0A9E"/>
    <w:rsid w:val="006C55CA"/>
    <w:rsid w:val="006C6187"/>
    <w:rsid w:val="006D2158"/>
    <w:rsid w:val="006D71C6"/>
    <w:rsid w:val="006E6319"/>
    <w:rsid w:val="006E7F4B"/>
    <w:rsid w:val="006F3833"/>
    <w:rsid w:val="006F3A2F"/>
    <w:rsid w:val="006F4A95"/>
    <w:rsid w:val="006F6043"/>
    <w:rsid w:val="007119EF"/>
    <w:rsid w:val="0071334C"/>
    <w:rsid w:val="00720623"/>
    <w:rsid w:val="0072211D"/>
    <w:rsid w:val="0073454B"/>
    <w:rsid w:val="0073611A"/>
    <w:rsid w:val="00740603"/>
    <w:rsid w:val="00744787"/>
    <w:rsid w:val="00745688"/>
    <w:rsid w:val="00770D66"/>
    <w:rsid w:val="007737E6"/>
    <w:rsid w:val="00775BD8"/>
    <w:rsid w:val="00787111"/>
    <w:rsid w:val="00787519"/>
    <w:rsid w:val="00797235"/>
    <w:rsid w:val="007B1C45"/>
    <w:rsid w:val="007B2AE7"/>
    <w:rsid w:val="007B3D77"/>
    <w:rsid w:val="007B463F"/>
    <w:rsid w:val="007B5D01"/>
    <w:rsid w:val="007B7DF6"/>
    <w:rsid w:val="007C0665"/>
    <w:rsid w:val="007C202A"/>
    <w:rsid w:val="007D6DC7"/>
    <w:rsid w:val="007D732D"/>
    <w:rsid w:val="007E19CC"/>
    <w:rsid w:val="007E2665"/>
    <w:rsid w:val="007F77CB"/>
    <w:rsid w:val="0080017A"/>
    <w:rsid w:val="00805196"/>
    <w:rsid w:val="00815339"/>
    <w:rsid w:val="00821D78"/>
    <w:rsid w:val="008249BB"/>
    <w:rsid w:val="00827DBB"/>
    <w:rsid w:val="008336F8"/>
    <w:rsid w:val="008356F5"/>
    <w:rsid w:val="00837BA6"/>
    <w:rsid w:val="008427FC"/>
    <w:rsid w:val="008436A1"/>
    <w:rsid w:val="008543C4"/>
    <w:rsid w:val="008552E5"/>
    <w:rsid w:val="00861528"/>
    <w:rsid w:val="0086315D"/>
    <w:rsid w:val="00864135"/>
    <w:rsid w:val="00866E1B"/>
    <w:rsid w:val="00870457"/>
    <w:rsid w:val="0087203D"/>
    <w:rsid w:val="00873276"/>
    <w:rsid w:val="00882F5C"/>
    <w:rsid w:val="0089083E"/>
    <w:rsid w:val="0089582B"/>
    <w:rsid w:val="00897D92"/>
    <w:rsid w:val="008A2AE6"/>
    <w:rsid w:val="008A2FCF"/>
    <w:rsid w:val="008A386A"/>
    <w:rsid w:val="008A63C8"/>
    <w:rsid w:val="008B2DC6"/>
    <w:rsid w:val="008B2EFF"/>
    <w:rsid w:val="008B74FE"/>
    <w:rsid w:val="008C1F6E"/>
    <w:rsid w:val="008C20BF"/>
    <w:rsid w:val="008D237A"/>
    <w:rsid w:val="008E3198"/>
    <w:rsid w:val="008E41E6"/>
    <w:rsid w:val="008F1ED2"/>
    <w:rsid w:val="008F48EA"/>
    <w:rsid w:val="008F50D0"/>
    <w:rsid w:val="00901E1F"/>
    <w:rsid w:val="009025F3"/>
    <w:rsid w:val="009128A4"/>
    <w:rsid w:val="00914F83"/>
    <w:rsid w:val="00920899"/>
    <w:rsid w:val="00920D7E"/>
    <w:rsid w:val="00922543"/>
    <w:rsid w:val="009237A9"/>
    <w:rsid w:val="009240A3"/>
    <w:rsid w:val="009304A2"/>
    <w:rsid w:val="00932372"/>
    <w:rsid w:val="0093607F"/>
    <w:rsid w:val="00936540"/>
    <w:rsid w:val="00940682"/>
    <w:rsid w:val="009411F1"/>
    <w:rsid w:val="00943D0C"/>
    <w:rsid w:val="00944539"/>
    <w:rsid w:val="00957AAA"/>
    <w:rsid w:val="00962683"/>
    <w:rsid w:val="00970B19"/>
    <w:rsid w:val="009727DF"/>
    <w:rsid w:val="00975F7C"/>
    <w:rsid w:val="009770BC"/>
    <w:rsid w:val="0098416C"/>
    <w:rsid w:val="00993EC3"/>
    <w:rsid w:val="009A04DC"/>
    <w:rsid w:val="009B5416"/>
    <w:rsid w:val="009C0C14"/>
    <w:rsid w:val="009C18BA"/>
    <w:rsid w:val="009C39A6"/>
    <w:rsid w:val="009C552A"/>
    <w:rsid w:val="009D03F6"/>
    <w:rsid w:val="009D6D4F"/>
    <w:rsid w:val="009D739A"/>
    <w:rsid w:val="009E400C"/>
    <w:rsid w:val="009E78C7"/>
    <w:rsid w:val="009F0432"/>
    <w:rsid w:val="009F1D38"/>
    <w:rsid w:val="009F48EE"/>
    <w:rsid w:val="00A036D7"/>
    <w:rsid w:val="00A1162F"/>
    <w:rsid w:val="00A12463"/>
    <w:rsid w:val="00A12F11"/>
    <w:rsid w:val="00A1677F"/>
    <w:rsid w:val="00A20010"/>
    <w:rsid w:val="00A20D4D"/>
    <w:rsid w:val="00A210CC"/>
    <w:rsid w:val="00A21B6C"/>
    <w:rsid w:val="00A25094"/>
    <w:rsid w:val="00A3223F"/>
    <w:rsid w:val="00A45FA5"/>
    <w:rsid w:val="00A5245E"/>
    <w:rsid w:val="00A53DC6"/>
    <w:rsid w:val="00A543DB"/>
    <w:rsid w:val="00A609D2"/>
    <w:rsid w:val="00A6100B"/>
    <w:rsid w:val="00A626AA"/>
    <w:rsid w:val="00A632EF"/>
    <w:rsid w:val="00A6616B"/>
    <w:rsid w:val="00A710EC"/>
    <w:rsid w:val="00A72690"/>
    <w:rsid w:val="00A748BE"/>
    <w:rsid w:val="00A81979"/>
    <w:rsid w:val="00A83462"/>
    <w:rsid w:val="00A83A2D"/>
    <w:rsid w:val="00A84CF4"/>
    <w:rsid w:val="00A871CE"/>
    <w:rsid w:val="00A9008B"/>
    <w:rsid w:val="00A922EB"/>
    <w:rsid w:val="00A936CA"/>
    <w:rsid w:val="00AA1033"/>
    <w:rsid w:val="00AA2F51"/>
    <w:rsid w:val="00AC2F52"/>
    <w:rsid w:val="00AC66F8"/>
    <w:rsid w:val="00AD413E"/>
    <w:rsid w:val="00AD49D9"/>
    <w:rsid w:val="00AD7511"/>
    <w:rsid w:val="00AE131B"/>
    <w:rsid w:val="00AE2CD2"/>
    <w:rsid w:val="00AE3BB1"/>
    <w:rsid w:val="00AE6E12"/>
    <w:rsid w:val="00AF15FC"/>
    <w:rsid w:val="00AF2130"/>
    <w:rsid w:val="00B0288D"/>
    <w:rsid w:val="00B05730"/>
    <w:rsid w:val="00B0649A"/>
    <w:rsid w:val="00B12F7E"/>
    <w:rsid w:val="00B15BCE"/>
    <w:rsid w:val="00B231EA"/>
    <w:rsid w:val="00B25BD2"/>
    <w:rsid w:val="00B3179C"/>
    <w:rsid w:val="00B32D9E"/>
    <w:rsid w:val="00B36E02"/>
    <w:rsid w:val="00B42385"/>
    <w:rsid w:val="00B47B0A"/>
    <w:rsid w:val="00B47C78"/>
    <w:rsid w:val="00B507D7"/>
    <w:rsid w:val="00B547E6"/>
    <w:rsid w:val="00B56CB2"/>
    <w:rsid w:val="00B56F85"/>
    <w:rsid w:val="00B62ABA"/>
    <w:rsid w:val="00B650FB"/>
    <w:rsid w:val="00B659D0"/>
    <w:rsid w:val="00B72B52"/>
    <w:rsid w:val="00B736D1"/>
    <w:rsid w:val="00B82CD9"/>
    <w:rsid w:val="00B83030"/>
    <w:rsid w:val="00B83BBB"/>
    <w:rsid w:val="00B84F67"/>
    <w:rsid w:val="00B85076"/>
    <w:rsid w:val="00B85618"/>
    <w:rsid w:val="00B91BBE"/>
    <w:rsid w:val="00B922C7"/>
    <w:rsid w:val="00B97A2A"/>
    <w:rsid w:val="00BA2D77"/>
    <w:rsid w:val="00BA4037"/>
    <w:rsid w:val="00BA4040"/>
    <w:rsid w:val="00BA4CEF"/>
    <w:rsid w:val="00BA748B"/>
    <w:rsid w:val="00BB276B"/>
    <w:rsid w:val="00BC29C1"/>
    <w:rsid w:val="00BC4C07"/>
    <w:rsid w:val="00BE1413"/>
    <w:rsid w:val="00BE14D3"/>
    <w:rsid w:val="00BE28AA"/>
    <w:rsid w:val="00BF1F55"/>
    <w:rsid w:val="00BF58FF"/>
    <w:rsid w:val="00BF6D96"/>
    <w:rsid w:val="00C04F8A"/>
    <w:rsid w:val="00C0767C"/>
    <w:rsid w:val="00C10D1A"/>
    <w:rsid w:val="00C11513"/>
    <w:rsid w:val="00C22A27"/>
    <w:rsid w:val="00C2382D"/>
    <w:rsid w:val="00C23DC9"/>
    <w:rsid w:val="00C25247"/>
    <w:rsid w:val="00C31344"/>
    <w:rsid w:val="00C355B2"/>
    <w:rsid w:val="00C3618B"/>
    <w:rsid w:val="00C36D05"/>
    <w:rsid w:val="00C425D2"/>
    <w:rsid w:val="00C52449"/>
    <w:rsid w:val="00C57D18"/>
    <w:rsid w:val="00C66234"/>
    <w:rsid w:val="00C71D1D"/>
    <w:rsid w:val="00C731F1"/>
    <w:rsid w:val="00C772FE"/>
    <w:rsid w:val="00C833BA"/>
    <w:rsid w:val="00C85D6F"/>
    <w:rsid w:val="00C9682B"/>
    <w:rsid w:val="00CA1CC3"/>
    <w:rsid w:val="00CA2F68"/>
    <w:rsid w:val="00CA6794"/>
    <w:rsid w:val="00CE0DD3"/>
    <w:rsid w:val="00CE2ECD"/>
    <w:rsid w:val="00CE5D50"/>
    <w:rsid w:val="00D00CA5"/>
    <w:rsid w:val="00D025A6"/>
    <w:rsid w:val="00D06930"/>
    <w:rsid w:val="00D074B1"/>
    <w:rsid w:val="00D1067C"/>
    <w:rsid w:val="00D11662"/>
    <w:rsid w:val="00D12CE2"/>
    <w:rsid w:val="00D13517"/>
    <w:rsid w:val="00D15C85"/>
    <w:rsid w:val="00D1623D"/>
    <w:rsid w:val="00D17094"/>
    <w:rsid w:val="00D23B7D"/>
    <w:rsid w:val="00D31D1D"/>
    <w:rsid w:val="00D33342"/>
    <w:rsid w:val="00D3621B"/>
    <w:rsid w:val="00D368D9"/>
    <w:rsid w:val="00D43F33"/>
    <w:rsid w:val="00D44778"/>
    <w:rsid w:val="00D44853"/>
    <w:rsid w:val="00D45C84"/>
    <w:rsid w:val="00D50235"/>
    <w:rsid w:val="00D51091"/>
    <w:rsid w:val="00D51D32"/>
    <w:rsid w:val="00D5598C"/>
    <w:rsid w:val="00D57B9C"/>
    <w:rsid w:val="00D63062"/>
    <w:rsid w:val="00D74ED9"/>
    <w:rsid w:val="00D779ED"/>
    <w:rsid w:val="00D81BF6"/>
    <w:rsid w:val="00D825B2"/>
    <w:rsid w:val="00D93029"/>
    <w:rsid w:val="00D94817"/>
    <w:rsid w:val="00D94E42"/>
    <w:rsid w:val="00D9516C"/>
    <w:rsid w:val="00DB1178"/>
    <w:rsid w:val="00DC58B6"/>
    <w:rsid w:val="00DD0528"/>
    <w:rsid w:val="00DD12B5"/>
    <w:rsid w:val="00DD1FEA"/>
    <w:rsid w:val="00DD21F1"/>
    <w:rsid w:val="00DD41D5"/>
    <w:rsid w:val="00DD5ED4"/>
    <w:rsid w:val="00DD76EB"/>
    <w:rsid w:val="00DE1C0D"/>
    <w:rsid w:val="00DE2E63"/>
    <w:rsid w:val="00DE4573"/>
    <w:rsid w:val="00DE579B"/>
    <w:rsid w:val="00DE6363"/>
    <w:rsid w:val="00DE6E1B"/>
    <w:rsid w:val="00DF1503"/>
    <w:rsid w:val="00DF5B56"/>
    <w:rsid w:val="00DF6D9E"/>
    <w:rsid w:val="00E00D87"/>
    <w:rsid w:val="00E0168C"/>
    <w:rsid w:val="00E01E57"/>
    <w:rsid w:val="00E03310"/>
    <w:rsid w:val="00E0693F"/>
    <w:rsid w:val="00E06C09"/>
    <w:rsid w:val="00E13CD3"/>
    <w:rsid w:val="00E152AE"/>
    <w:rsid w:val="00E156A9"/>
    <w:rsid w:val="00E16318"/>
    <w:rsid w:val="00E16861"/>
    <w:rsid w:val="00E21178"/>
    <w:rsid w:val="00E22AD3"/>
    <w:rsid w:val="00E2315E"/>
    <w:rsid w:val="00E23E5F"/>
    <w:rsid w:val="00E3078A"/>
    <w:rsid w:val="00E35CD3"/>
    <w:rsid w:val="00E457C5"/>
    <w:rsid w:val="00E54E6B"/>
    <w:rsid w:val="00E75FB6"/>
    <w:rsid w:val="00E768BF"/>
    <w:rsid w:val="00E813FC"/>
    <w:rsid w:val="00E83174"/>
    <w:rsid w:val="00E90D62"/>
    <w:rsid w:val="00E9668C"/>
    <w:rsid w:val="00EA00A2"/>
    <w:rsid w:val="00EA0986"/>
    <w:rsid w:val="00EA35D2"/>
    <w:rsid w:val="00EA69D5"/>
    <w:rsid w:val="00EC04A0"/>
    <w:rsid w:val="00EC3271"/>
    <w:rsid w:val="00EC38E2"/>
    <w:rsid w:val="00EC432D"/>
    <w:rsid w:val="00EC6D14"/>
    <w:rsid w:val="00ED2382"/>
    <w:rsid w:val="00ED7724"/>
    <w:rsid w:val="00EF2475"/>
    <w:rsid w:val="00EF3B31"/>
    <w:rsid w:val="00F02201"/>
    <w:rsid w:val="00F060D4"/>
    <w:rsid w:val="00F25897"/>
    <w:rsid w:val="00F30304"/>
    <w:rsid w:val="00F3457F"/>
    <w:rsid w:val="00F34E5C"/>
    <w:rsid w:val="00F34E64"/>
    <w:rsid w:val="00F41562"/>
    <w:rsid w:val="00F41A1D"/>
    <w:rsid w:val="00F45639"/>
    <w:rsid w:val="00F467F4"/>
    <w:rsid w:val="00F46DE6"/>
    <w:rsid w:val="00F66627"/>
    <w:rsid w:val="00F66818"/>
    <w:rsid w:val="00F67CC2"/>
    <w:rsid w:val="00F7117E"/>
    <w:rsid w:val="00F71C44"/>
    <w:rsid w:val="00F735B8"/>
    <w:rsid w:val="00F76605"/>
    <w:rsid w:val="00F77078"/>
    <w:rsid w:val="00F7748B"/>
    <w:rsid w:val="00F875D8"/>
    <w:rsid w:val="00F92DA9"/>
    <w:rsid w:val="00F955C4"/>
    <w:rsid w:val="00FA0D6C"/>
    <w:rsid w:val="00FA34B7"/>
    <w:rsid w:val="00FA489E"/>
    <w:rsid w:val="00FA5C6B"/>
    <w:rsid w:val="00FA5D1B"/>
    <w:rsid w:val="00FB1124"/>
    <w:rsid w:val="00FB2B69"/>
    <w:rsid w:val="00FC1BB5"/>
    <w:rsid w:val="00FC6715"/>
    <w:rsid w:val="00FD46C4"/>
    <w:rsid w:val="00FD5C26"/>
    <w:rsid w:val="00FE0BBF"/>
    <w:rsid w:val="00FE3C1D"/>
    <w:rsid w:val="00FE77B4"/>
    <w:rsid w:val="00FF1988"/>
    <w:rsid w:val="00FF234A"/>
    <w:rsid w:val="00FF254F"/>
    <w:rsid w:val="00FF7B3B"/>
    <w:rsid w:val="012A595C"/>
    <w:rsid w:val="01685C0F"/>
    <w:rsid w:val="01F67830"/>
    <w:rsid w:val="02242A6B"/>
    <w:rsid w:val="02A11F4F"/>
    <w:rsid w:val="02DD60B4"/>
    <w:rsid w:val="02EC699B"/>
    <w:rsid w:val="03073058"/>
    <w:rsid w:val="030B2A7C"/>
    <w:rsid w:val="031E45D6"/>
    <w:rsid w:val="03A31313"/>
    <w:rsid w:val="03AF14C8"/>
    <w:rsid w:val="03D61174"/>
    <w:rsid w:val="04184354"/>
    <w:rsid w:val="045A6905"/>
    <w:rsid w:val="04A60BF8"/>
    <w:rsid w:val="04FA6D55"/>
    <w:rsid w:val="05120C21"/>
    <w:rsid w:val="05704DD8"/>
    <w:rsid w:val="057846CD"/>
    <w:rsid w:val="05D160B7"/>
    <w:rsid w:val="05F23A3F"/>
    <w:rsid w:val="060625C5"/>
    <w:rsid w:val="06287F37"/>
    <w:rsid w:val="06372900"/>
    <w:rsid w:val="06375B27"/>
    <w:rsid w:val="064040F2"/>
    <w:rsid w:val="06637506"/>
    <w:rsid w:val="075775AA"/>
    <w:rsid w:val="076F3599"/>
    <w:rsid w:val="07743A05"/>
    <w:rsid w:val="08183D17"/>
    <w:rsid w:val="081B19C0"/>
    <w:rsid w:val="089E323F"/>
    <w:rsid w:val="09403770"/>
    <w:rsid w:val="09A67483"/>
    <w:rsid w:val="09FB7366"/>
    <w:rsid w:val="09FC7B4F"/>
    <w:rsid w:val="0A367A66"/>
    <w:rsid w:val="0A7E7A62"/>
    <w:rsid w:val="0AF56E79"/>
    <w:rsid w:val="0B1A0DC2"/>
    <w:rsid w:val="0B3679BB"/>
    <w:rsid w:val="0B9D495E"/>
    <w:rsid w:val="0BDC0B7E"/>
    <w:rsid w:val="0C6D3E1B"/>
    <w:rsid w:val="0CE70483"/>
    <w:rsid w:val="0D26294C"/>
    <w:rsid w:val="0D612415"/>
    <w:rsid w:val="0E733016"/>
    <w:rsid w:val="0EEA3E1D"/>
    <w:rsid w:val="0EFF05FA"/>
    <w:rsid w:val="0F146FF2"/>
    <w:rsid w:val="0F6661D6"/>
    <w:rsid w:val="0FC4272E"/>
    <w:rsid w:val="10170FE8"/>
    <w:rsid w:val="105769DE"/>
    <w:rsid w:val="1092497D"/>
    <w:rsid w:val="10B730EB"/>
    <w:rsid w:val="10FE598E"/>
    <w:rsid w:val="114505F4"/>
    <w:rsid w:val="11494080"/>
    <w:rsid w:val="11E5423F"/>
    <w:rsid w:val="11FB5D38"/>
    <w:rsid w:val="122E4051"/>
    <w:rsid w:val="125F06E8"/>
    <w:rsid w:val="1274686E"/>
    <w:rsid w:val="12CA1884"/>
    <w:rsid w:val="12DA60CF"/>
    <w:rsid w:val="132C09C5"/>
    <w:rsid w:val="13347D0D"/>
    <w:rsid w:val="138134EB"/>
    <w:rsid w:val="13AA6BDA"/>
    <w:rsid w:val="13D6248B"/>
    <w:rsid w:val="13DA02E6"/>
    <w:rsid w:val="14127701"/>
    <w:rsid w:val="1467694C"/>
    <w:rsid w:val="154B1669"/>
    <w:rsid w:val="157F66A4"/>
    <w:rsid w:val="158C0C56"/>
    <w:rsid w:val="15F33FE8"/>
    <w:rsid w:val="160B7499"/>
    <w:rsid w:val="163065E9"/>
    <w:rsid w:val="16AC1AF3"/>
    <w:rsid w:val="16C02E28"/>
    <w:rsid w:val="16EE0386"/>
    <w:rsid w:val="174C3EE9"/>
    <w:rsid w:val="17A22670"/>
    <w:rsid w:val="17B759F8"/>
    <w:rsid w:val="17E92EF4"/>
    <w:rsid w:val="17EF504C"/>
    <w:rsid w:val="18212F49"/>
    <w:rsid w:val="1866434D"/>
    <w:rsid w:val="1922268D"/>
    <w:rsid w:val="19661CE9"/>
    <w:rsid w:val="196D4E7B"/>
    <w:rsid w:val="19A0720E"/>
    <w:rsid w:val="19CB33F3"/>
    <w:rsid w:val="1A6C68B5"/>
    <w:rsid w:val="1A7424A4"/>
    <w:rsid w:val="1ACB77D9"/>
    <w:rsid w:val="1B643161"/>
    <w:rsid w:val="1B7B318C"/>
    <w:rsid w:val="1BE33542"/>
    <w:rsid w:val="1C232B3E"/>
    <w:rsid w:val="1C803088"/>
    <w:rsid w:val="1C8D7349"/>
    <w:rsid w:val="1CB21953"/>
    <w:rsid w:val="1DC15AA4"/>
    <w:rsid w:val="1DE300B3"/>
    <w:rsid w:val="1EA3694F"/>
    <w:rsid w:val="1EF170D1"/>
    <w:rsid w:val="1EF73E0E"/>
    <w:rsid w:val="1F831A90"/>
    <w:rsid w:val="1FDF1F8C"/>
    <w:rsid w:val="2035147D"/>
    <w:rsid w:val="20CB530C"/>
    <w:rsid w:val="20F0307C"/>
    <w:rsid w:val="211C60E8"/>
    <w:rsid w:val="212970D8"/>
    <w:rsid w:val="214B79FF"/>
    <w:rsid w:val="21C45B75"/>
    <w:rsid w:val="222C58FA"/>
    <w:rsid w:val="223A0998"/>
    <w:rsid w:val="22736DFB"/>
    <w:rsid w:val="22A2261D"/>
    <w:rsid w:val="230311CC"/>
    <w:rsid w:val="23170FF8"/>
    <w:rsid w:val="232A641E"/>
    <w:rsid w:val="235E1FED"/>
    <w:rsid w:val="235E58AB"/>
    <w:rsid w:val="23EC6CD9"/>
    <w:rsid w:val="24127BA0"/>
    <w:rsid w:val="24181CCF"/>
    <w:rsid w:val="24687786"/>
    <w:rsid w:val="24BE1E58"/>
    <w:rsid w:val="24C353A1"/>
    <w:rsid w:val="24C54229"/>
    <w:rsid w:val="25081B50"/>
    <w:rsid w:val="255A278A"/>
    <w:rsid w:val="25C121E5"/>
    <w:rsid w:val="25D65809"/>
    <w:rsid w:val="25E96A8C"/>
    <w:rsid w:val="26726C14"/>
    <w:rsid w:val="26731FD2"/>
    <w:rsid w:val="26A15D5B"/>
    <w:rsid w:val="26A27B30"/>
    <w:rsid w:val="26A3524D"/>
    <w:rsid w:val="26AB3658"/>
    <w:rsid w:val="26DC63CD"/>
    <w:rsid w:val="26F83F34"/>
    <w:rsid w:val="27322E3B"/>
    <w:rsid w:val="27420243"/>
    <w:rsid w:val="27E4209E"/>
    <w:rsid w:val="28320C83"/>
    <w:rsid w:val="284730DC"/>
    <w:rsid w:val="28490A1D"/>
    <w:rsid w:val="28AC7708"/>
    <w:rsid w:val="28F50E40"/>
    <w:rsid w:val="293539BA"/>
    <w:rsid w:val="29752839"/>
    <w:rsid w:val="29CB0781"/>
    <w:rsid w:val="29CF2C42"/>
    <w:rsid w:val="29D67429"/>
    <w:rsid w:val="29DD66EE"/>
    <w:rsid w:val="2A1678E6"/>
    <w:rsid w:val="2B742CD9"/>
    <w:rsid w:val="2BD57DFA"/>
    <w:rsid w:val="2C303B78"/>
    <w:rsid w:val="2C704942"/>
    <w:rsid w:val="2C9A47DE"/>
    <w:rsid w:val="2CA35F0F"/>
    <w:rsid w:val="2CA75426"/>
    <w:rsid w:val="2CFD50E3"/>
    <w:rsid w:val="2D115010"/>
    <w:rsid w:val="2D72313D"/>
    <w:rsid w:val="2D752992"/>
    <w:rsid w:val="2DEF462F"/>
    <w:rsid w:val="2E7E4D8B"/>
    <w:rsid w:val="2EA26F06"/>
    <w:rsid w:val="2EF01F50"/>
    <w:rsid w:val="2F372AD0"/>
    <w:rsid w:val="2F4A3E20"/>
    <w:rsid w:val="2F7FF505"/>
    <w:rsid w:val="2F887153"/>
    <w:rsid w:val="2F9C03F4"/>
    <w:rsid w:val="2FB96CA7"/>
    <w:rsid w:val="30D85506"/>
    <w:rsid w:val="31C25CF2"/>
    <w:rsid w:val="31D92BDB"/>
    <w:rsid w:val="31DA648F"/>
    <w:rsid w:val="31F14C52"/>
    <w:rsid w:val="32243C70"/>
    <w:rsid w:val="325B55BB"/>
    <w:rsid w:val="32C513A8"/>
    <w:rsid w:val="33011365"/>
    <w:rsid w:val="331E5A1E"/>
    <w:rsid w:val="33741BCE"/>
    <w:rsid w:val="338E7973"/>
    <w:rsid w:val="33FFDC39"/>
    <w:rsid w:val="353C0B5E"/>
    <w:rsid w:val="35417A73"/>
    <w:rsid w:val="354207D4"/>
    <w:rsid w:val="356C3225"/>
    <w:rsid w:val="35962762"/>
    <w:rsid w:val="35977DB1"/>
    <w:rsid w:val="36893F85"/>
    <w:rsid w:val="3689432D"/>
    <w:rsid w:val="36E474B5"/>
    <w:rsid w:val="3752259C"/>
    <w:rsid w:val="38820397"/>
    <w:rsid w:val="38AE749E"/>
    <w:rsid w:val="38B50886"/>
    <w:rsid w:val="38C116FA"/>
    <w:rsid w:val="38F637FC"/>
    <w:rsid w:val="391039C1"/>
    <w:rsid w:val="395714D7"/>
    <w:rsid w:val="3A2F4093"/>
    <w:rsid w:val="3A555642"/>
    <w:rsid w:val="3A6424FF"/>
    <w:rsid w:val="3A6C1DFC"/>
    <w:rsid w:val="3A7802B4"/>
    <w:rsid w:val="3A965CCF"/>
    <w:rsid w:val="3ABC3880"/>
    <w:rsid w:val="3B3629E6"/>
    <w:rsid w:val="3B394FDE"/>
    <w:rsid w:val="3B3A11DD"/>
    <w:rsid w:val="3BFDFC9B"/>
    <w:rsid w:val="3C94390C"/>
    <w:rsid w:val="3C995CD3"/>
    <w:rsid w:val="3CB34AFE"/>
    <w:rsid w:val="3CFF57ED"/>
    <w:rsid w:val="3D2F0998"/>
    <w:rsid w:val="3D4F2BDF"/>
    <w:rsid w:val="3D847006"/>
    <w:rsid w:val="3DDD6108"/>
    <w:rsid w:val="3DF35FF1"/>
    <w:rsid w:val="3DFFB97A"/>
    <w:rsid w:val="3E211496"/>
    <w:rsid w:val="3E4708FD"/>
    <w:rsid w:val="3E605513"/>
    <w:rsid w:val="3E857560"/>
    <w:rsid w:val="3EC651BA"/>
    <w:rsid w:val="3EDD3140"/>
    <w:rsid w:val="3F204876"/>
    <w:rsid w:val="3F3D5750"/>
    <w:rsid w:val="3F51F27E"/>
    <w:rsid w:val="3F561AAC"/>
    <w:rsid w:val="3F7F22EE"/>
    <w:rsid w:val="3F95462F"/>
    <w:rsid w:val="3FD427C8"/>
    <w:rsid w:val="40327994"/>
    <w:rsid w:val="40754257"/>
    <w:rsid w:val="407C7E7E"/>
    <w:rsid w:val="409E0CA9"/>
    <w:rsid w:val="40CF183E"/>
    <w:rsid w:val="40D20421"/>
    <w:rsid w:val="412471F1"/>
    <w:rsid w:val="41C12615"/>
    <w:rsid w:val="42693067"/>
    <w:rsid w:val="42CA271F"/>
    <w:rsid w:val="42D21459"/>
    <w:rsid w:val="430138B4"/>
    <w:rsid w:val="43C567DC"/>
    <w:rsid w:val="445B5963"/>
    <w:rsid w:val="44FB5F4D"/>
    <w:rsid w:val="45147B39"/>
    <w:rsid w:val="458C3E0E"/>
    <w:rsid w:val="45EF82B9"/>
    <w:rsid w:val="46296340"/>
    <w:rsid w:val="46533DF8"/>
    <w:rsid w:val="469F0C21"/>
    <w:rsid w:val="471F28DC"/>
    <w:rsid w:val="47892B04"/>
    <w:rsid w:val="486B7D63"/>
    <w:rsid w:val="48862FFA"/>
    <w:rsid w:val="48B31F4C"/>
    <w:rsid w:val="490523FE"/>
    <w:rsid w:val="4A7F4E6E"/>
    <w:rsid w:val="4B4A073D"/>
    <w:rsid w:val="4B7F4D3F"/>
    <w:rsid w:val="4BE8155C"/>
    <w:rsid w:val="4C1C3959"/>
    <w:rsid w:val="4C2F2BF9"/>
    <w:rsid w:val="4C3F1FD8"/>
    <w:rsid w:val="4C7402D7"/>
    <w:rsid w:val="4CC07470"/>
    <w:rsid w:val="4CD14D5B"/>
    <w:rsid w:val="4CFB57DC"/>
    <w:rsid w:val="4D3F44F6"/>
    <w:rsid w:val="4DB149AB"/>
    <w:rsid w:val="4DEA2A90"/>
    <w:rsid w:val="4E1C6A7D"/>
    <w:rsid w:val="4E6B2485"/>
    <w:rsid w:val="4E934CD5"/>
    <w:rsid w:val="4EB51952"/>
    <w:rsid w:val="4F0F1D98"/>
    <w:rsid w:val="4F5B16DF"/>
    <w:rsid w:val="4F6D1B94"/>
    <w:rsid w:val="4F7276A9"/>
    <w:rsid w:val="4FC32926"/>
    <w:rsid w:val="507516D4"/>
    <w:rsid w:val="5076286F"/>
    <w:rsid w:val="50893010"/>
    <w:rsid w:val="50C629BD"/>
    <w:rsid w:val="51414A79"/>
    <w:rsid w:val="521A1908"/>
    <w:rsid w:val="52750575"/>
    <w:rsid w:val="52852FDC"/>
    <w:rsid w:val="52A02B8A"/>
    <w:rsid w:val="5300717F"/>
    <w:rsid w:val="533C0767"/>
    <w:rsid w:val="537E3877"/>
    <w:rsid w:val="53A51568"/>
    <w:rsid w:val="53E41FD5"/>
    <w:rsid w:val="548F0958"/>
    <w:rsid w:val="54BC281B"/>
    <w:rsid w:val="559438E5"/>
    <w:rsid w:val="55C962F0"/>
    <w:rsid w:val="55F3797D"/>
    <w:rsid w:val="560C3968"/>
    <w:rsid w:val="567700BF"/>
    <w:rsid w:val="56EC4C6F"/>
    <w:rsid w:val="574D3B39"/>
    <w:rsid w:val="58335797"/>
    <w:rsid w:val="586C7175"/>
    <w:rsid w:val="594E5020"/>
    <w:rsid w:val="595230CC"/>
    <w:rsid w:val="59694173"/>
    <w:rsid w:val="596E52BC"/>
    <w:rsid w:val="5977293B"/>
    <w:rsid w:val="599577DA"/>
    <w:rsid w:val="59A939E4"/>
    <w:rsid w:val="59EB187F"/>
    <w:rsid w:val="59ED0ECA"/>
    <w:rsid w:val="5A1170CB"/>
    <w:rsid w:val="5A234D01"/>
    <w:rsid w:val="5A8D0FC1"/>
    <w:rsid w:val="5A927FE3"/>
    <w:rsid w:val="5B754646"/>
    <w:rsid w:val="5B784264"/>
    <w:rsid w:val="5CAD7B14"/>
    <w:rsid w:val="5CD61DA3"/>
    <w:rsid w:val="5D4349C4"/>
    <w:rsid w:val="5D564872"/>
    <w:rsid w:val="5DD24B41"/>
    <w:rsid w:val="5DF11B73"/>
    <w:rsid w:val="5DFB1CB5"/>
    <w:rsid w:val="5DFB7708"/>
    <w:rsid w:val="5E1B34D6"/>
    <w:rsid w:val="5E3F890E"/>
    <w:rsid w:val="5E51004B"/>
    <w:rsid w:val="5E752A1D"/>
    <w:rsid w:val="5EA41F39"/>
    <w:rsid w:val="5EBC4B71"/>
    <w:rsid w:val="5EDC5A52"/>
    <w:rsid w:val="5EF96D2C"/>
    <w:rsid w:val="5F717B56"/>
    <w:rsid w:val="5F7B0C57"/>
    <w:rsid w:val="5FDC3DAA"/>
    <w:rsid w:val="5FFA0EB2"/>
    <w:rsid w:val="6040276C"/>
    <w:rsid w:val="609A21B5"/>
    <w:rsid w:val="60EA7FB6"/>
    <w:rsid w:val="60F35D18"/>
    <w:rsid w:val="614C6AAF"/>
    <w:rsid w:val="61A26AFE"/>
    <w:rsid w:val="61B704F6"/>
    <w:rsid w:val="61C478B4"/>
    <w:rsid w:val="61E85D4F"/>
    <w:rsid w:val="6228620F"/>
    <w:rsid w:val="62AC3C8A"/>
    <w:rsid w:val="62EC7C54"/>
    <w:rsid w:val="639F0232"/>
    <w:rsid w:val="63A63014"/>
    <w:rsid w:val="63C18A66"/>
    <w:rsid w:val="63F2166B"/>
    <w:rsid w:val="640A0B1B"/>
    <w:rsid w:val="642968F1"/>
    <w:rsid w:val="64746C6E"/>
    <w:rsid w:val="648D7D30"/>
    <w:rsid w:val="650F06E1"/>
    <w:rsid w:val="653E7D88"/>
    <w:rsid w:val="65D36118"/>
    <w:rsid w:val="664039A8"/>
    <w:rsid w:val="66480B1F"/>
    <w:rsid w:val="672353B5"/>
    <w:rsid w:val="67C54D52"/>
    <w:rsid w:val="6804655B"/>
    <w:rsid w:val="68DE6E9B"/>
    <w:rsid w:val="68F6442A"/>
    <w:rsid w:val="69485706"/>
    <w:rsid w:val="69924715"/>
    <w:rsid w:val="69950BAB"/>
    <w:rsid w:val="69B30902"/>
    <w:rsid w:val="69DD6A19"/>
    <w:rsid w:val="69EB6234"/>
    <w:rsid w:val="69F0168D"/>
    <w:rsid w:val="6A174F6A"/>
    <w:rsid w:val="6A615EE7"/>
    <w:rsid w:val="6B307840"/>
    <w:rsid w:val="6BE23B37"/>
    <w:rsid w:val="6C0D12BA"/>
    <w:rsid w:val="6CC20950"/>
    <w:rsid w:val="6CC546A9"/>
    <w:rsid w:val="6D0002DD"/>
    <w:rsid w:val="6D68133A"/>
    <w:rsid w:val="6D6F2D35"/>
    <w:rsid w:val="6DFA2BE9"/>
    <w:rsid w:val="6DFC60FE"/>
    <w:rsid w:val="6EC72D27"/>
    <w:rsid w:val="6EE7003A"/>
    <w:rsid w:val="6F30127F"/>
    <w:rsid w:val="6F353174"/>
    <w:rsid w:val="6F400306"/>
    <w:rsid w:val="6F912C4C"/>
    <w:rsid w:val="6FA4142A"/>
    <w:rsid w:val="6FDF1DC6"/>
    <w:rsid w:val="6FE46F7E"/>
    <w:rsid w:val="6FED45F5"/>
    <w:rsid w:val="7045205D"/>
    <w:rsid w:val="706060E4"/>
    <w:rsid w:val="70D22618"/>
    <w:rsid w:val="711A5852"/>
    <w:rsid w:val="71642E43"/>
    <w:rsid w:val="71674FF2"/>
    <w:rsid w:val="72B062CA"/>
    <w:rsid w:val="731930F6"/>
    <w:rsid w:val="732F2878"/>
    <w:rsid w:val="73516B87"/>
    <w:rsid w:val="738B2556"/>
    <w:rsid w:val="738B44BF"/>
    <w:rsid w:val="73AF181E"/>
    <w:rsid w:val="73DD0FC1"/>
    <w:rsid w:val="73EC039E"/>
    <w:rsid w:val="74070C97"/>
    <w:rsid w:val="74453923"/>
    <w:rsid w:val="7448187A"/>
    <w:rsid w:val="745F0588"/>
    <w:rsid w:val="74A71E6F"/>
    <w:rsid w:val="74F02341"/>
    <w:rsid w:val="756816F7"/>
    <w:rsid w:val="75795371"/>
    <w:rsid w:val="76387E41"/>
    <w:rsid w:val="76450454"/>
    <w:rsid w:val="76650ABC"/>
    <w:rsid w:val="7697443C"/>
    <w:rsid w:val="77783520"/>
    <w:rsid w:val="77BD61FA"/>
    <w:rsid w:val="78211994"/>
    <w:rsid w:val="784F476E"/>
    <w:rsid w:val="786B3E4C"/>
    <w:rsid w:val="787838C5"/>
    <w:rsid w:val="788527BD"/>
    <w:rsid w:val="78884475"/>
    <w:rsid w:val="78F7EE03"/>
    <w:rsid w:val="79197A90"/>
    <w:rsid w:val="792A29BE"/>
    <w:rsid w:val="79717709"/>
    <w:rsid w:val="79862CD8"/>
    <w:rsid w:val="79BC4EE7"/>
    <w:rsid w:val="7A125922"/>
    <w:rsid w:val="7A371D4E"/>
    <w:rsid w:val="7A930FA5"/>
    <w:rsid w:val="7AD3647C"/>
    <w:rsid w:val="7B19200C"/>
    <w:rsid w:val="7BFB15A4"/>
    <w:rsid w:val="7C095B7E"/>
    <w:rsid w:val="7C407EF3"/>
    <w:rsid w:val="7C434CFC"/>
    <w:rsid w:val="7CB9A9FD"/>
    <w:rsid w:val="7D670785"/>
    <w:rsid w:val="7D910439"/>
    <w:rsid w:val="7DE71EFF"/>
    <w:rsid w:val="7E596D16"/>
    <w:rsid w:val="7E631BE8"/>
    <w:rsid w:val="7E643382"/>
    <w:rsid w:val="7EB229C5"/>
    <w:rsid w:val="7EBB4395"/>
    <w:rsid w:val="7ED799A6"/>
    <w:rsid w:val="7ED83A0B"/>
    <w:rsid w:val="7EFFDAF6"/>
    <w:rsid w:val="7F1537F4"/>
    <w:rsid w:val="7F360D26"/>
    <w:rsid w:val="7F3766F3"/>
    <w:rsid w:val="7F65E15C"/>
    <w:rsid w:val="7F772576"/>
    <w:rsid w:val="7F8521FE"/>
    <w:rsid w:val="7FA272BF"/>
    <w:rsid w:val="7FC468A4"/>
    <w:rsid w:val="7FCE770D"/>
    <w:rsid w:val="7FDB69C0"/>
    <w:rsid w:val="7FE64367"/>
    <w:rsid w:val="7FF7FEB5"/>
    <w:rsid w:val="97D76AD0"/>
    <w:rsid w:val="AEF9C7F8"/>
    <w:rsid w:val="BD9F6643"/>
    <w:rsid w:val="BE7E5BA8"/>
    <w:rsid w:val="BFC7C8E6"/>
    <w:rsid w:val="CFED3931"/>
    <w:rsid w:val="CFFF52B3"/>
    <w:rsid w:val="D9DE472F"/>
    <w:rsid w:val="FBB75CAE"/>
    <w:rsid w:val="FF7FA324"/>
    <w:rsid w:val="FFFE3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3"/>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unhideWhenUsed/>
    <w:qFormat/>
    <w:uiPriority w:val="0"/>
    <w:pPr>
      <w:keepNext/>
      <w:keepLines/>
      <w:spacing w:before="260" w:after="260" w:line="413" w:lineRule="auto"/>
      <w:outlineLvl w:val="2"/>
    </w:pPr>
    <w:rPr>
      <w:b/>
      <w:sz w:val="32"/>
    </w:rPr>
  </w:style>
  <w:style w:type="paragraph" w:styleId="8">
    <w:name w:val="heading 4"/>
    <w:basedOn w:val="1"/>
    <w:next w:val="1"/>
    <w:unhideWhenUsed/>
    <w:qFormat/>
    <w:uiPriority w:val="0"/>
    <w:pPr>
      <w:spacing w:before="66"/>
      <w:ind w:left="775"/>
      <w:outlineLvl w:val="3"/>
    </w:pPr>
    <w:rPr>
      <w:rFonts w:ascii="宋体" w:hAnsi="宋体" w:eastAsia="宋体" w:cs="宋体"/>
      <w:b/>
      <w:bCs/>
      <w:sz w:val="24"/>
      <w:szCs w:val="24"/>
      <w:lang w:val="zh-CN" w:bidi="zh-CN"/>
    </w:rPr>
  </w:style>
  <w:style w:type="paragraph" w:styleId="9">
    <w:name w:val="heading 5"/>
    <w:basedOn w:val="1"/>
    <w:next w:val="1"/>
    <w:unhideWhenUsed/>
    <w:qFormat/>
    <w:uiPriority w:val="0"/>
    <w:pPr>
      <w:spacing w:before="189"/>
      <w:ind w:left="292" w:right="451" w:firstLine="480"/>
      <w:outlineLvl w:val="4"/>
    </w:pPr>
    <w:rPr>
      <w:rFonts w:ascii="宋体" w:hAnsi="宋体" w:eastAsia="宋体" w:cs="宋体"/>
      <w:sz w:val="24"/>
      <w:szCs w:val="24"/>
      <w:lang w:val="zh-CN" w:bidi="zh-CN"/>
    </w:rPr>
  </w:style>
  <w:style w:type="paragraph" w:styleId="10">
    <w:name w:val="heading 6"/>
    <w:basedOn w:val="1"/>
    <w:next w:val="1"/>
    <w:unhideWhenUsed/>
    <w:qFormat/>
    <w:uiPriority w:val="0"/>
    <w:pPr>
      <w:ind w:left="113"/>
      <w:outlineLvl w:val="5"/>
    </w:pPr>
    <w:rPr>
      <w:rFonts w:ascii="宋体" w:hAnsi="宋体" w:eastAsia="宋体" w:cs="宋体"/>
      <w:b/>
      <w:bCs/>
      <w:szCs w:val="21"/>
      <w:lang w:val="zh-CN" w:bidi="zh-CN"/>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ind w:firstLine="480"/>
    </w:pPr>
    <w:rPr>
      <w:rFonts w:ascii="Times New Roman" w:hAnsi="Times New Roman" w:eastAsia="宋体" w:cs="Times New Roman"/>
      <w:sz w:val="24"/>
      <w:szCs w:val="20"/>
    </w:rPr>
  </w:style>
  <w:style w:type="paragraph" w:styleId="4">
    <w:name w:val="envelope return"/>
    <w:basedOn w:val="1"/>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rPr>
  </w:style>
  <w:style w:type="paragraph" w:styleId="11">
    <w:name w:val="toc 7"/>
    <w:basedOn w:val="1"/>
    <w:next w:val="1"/>
    <w:qFormat/>
    <w:uiPriority w:val="0"/>
    <w:pPr>
      <w:ind w:left="2520" w:leftChars="1200"/>
    </w:pPr>
  </w:style>
  <w:style w:type="paragraph" w:styleId="12">
    <w:name w:val="Normal Indent"/>
    <w:basedOn w:val="1"/>
    <w:qFormat/>
    <w:uiPriority w:val="0"/>
    <w:pPr>
      <w:ind w:firstLine="420" w:firstLineChars="200"/>
    </w:pPr>
    <w:rPr>
      <w:szCs w:val="20"/>
    </w:rPr>
  </w:style>
  <w:style w:type="paragraph" w:styleId="13">
    <w:name w:val="annotation text"/>
    <w:basedOn w:val="1"/>
    <w:qFormat/>
    <w:uiPriority w:val="0"/>
    <w:pPr>
      <w:jc w:val="left"/>
    </w:pPr>
  </w:style>
  <w:style w:type="paragraph" w:styleId="14">
    <w:name w:val="Body Text"/>
    <w:basedOn w:val="1"/>
    <w:next w:val="15"/>
    <w:qFormat/>
    <w:uiPriority w:val="0"/>
    <w:pPr>
      <w:spacing w:after="120"/>
    </w:pPr>
  </w:style>
  <w:style w:type="paragraph" w:customStyle="1" w:styleId="15">
    <w:name w:val="引用1"/>
    <w:basedOn w:val="1"/>
    <w:next w:val="1"/>
    <w:qFormat/>
    <w:uiPriority w:val="0"/>
    <w:pPr>
      <w:spacing w:line="400" w:lineRule="exact"/>
      <w:ind w:firstLine="420" w:firstLineChars="200"/>
    </w:pPr>
    <w:rPr>
      <w:i/>
    </w:rPr>
  </w:style>
  <w:style w:type="paragraph" w:styleId="16">
    <w:name w:val="toc 5"/>
    <w:basedOn w:val="1"/>
    <w:next w:val="1"/>
    <w:qFormat/>
    <w:uiPriority w:val="0"/>
    <w:pPr>
      <w:ind w:left="1680" w:leftChars="800"/>
    </w:pPr>
  </w:style>
  <w:style w:type="paragraph" w:styleId="17">
    <w:name w:val="toc 3"/>
    <w:basedOn w:val="1"/>
    <w:next w:val="1"/>
    <w:qFormat/>
    <w:uiPriority w:val="0"/>
    <w:pPr>
      <w:ind w:left="840" w:leftChars="400"/>
    </w:pPr>
  </w:style>
  <w:style w:type="paragraph" w:styleId="18">
    <w:name w:val="Plain Text"/>
    <w:basedOn w:val="1"/>
    <w:qFormat/>
    <w:uiPriority w:val="0"/>
    <w:rPr>
      <w:rFonts w:ascii="宋体" w:hAnsi="Courier New"/>
      <w:kern w:val="0"/>
      <w:sz w:val="20"/>
      <w:szCs w:val="20"/>
    </w:rPr>
  </w:style>
  <w:style w:type="paragraph" w:styleId="19">
    <w:name w:val="toc 8"/>
    <w:basedOn w:val="1"/>
    <w:next w:val="1"/>
    <w:qFormat/>
    <w:uiPriority w:val="0"/>
    <w:pPr>
      <w:ind w:left="2940" w:leftChars="1400"/>
    </w:pPr>
  </w:style>
  <w:style w:type="paragraph" w:styleId="20">
    <w:name w:val="Body Text Indent 2"/>
    <w:basedOn w:val="1"/>
    <w:qFormat/>
    <w:uiPriority w:val="0"/>
    <w:pPr>
      <w:ind w:left="-178"/>
    </w:pPr>
    <w:rPr>
      <w:rFonts w:ascii="宋体" w:hAnsi="宋体"/>
      <w:sz w:val="28"/>
    </w:rPr>
  </w:style>
  <w:style w:type="paragraph" w:styleId="21">
    <w:name w:val="Balloon Text"/>
    <w:basedOn w:val="1"/>
    <w:link w:val="40"/>
    <w:qFormat/>
    <w:uiPriority w:val="0"/>
    <w:rPr>
      <w:sz w:val="18"/>
      <w:szCs w:val="18"/>
    </w:rPr>
  </w:style>
  <w:style w:type="paragraph" w:styleId="22">
    <w:name w:val="footer"/>
    <w:basedOn w:val="1"/>
    <w:qFormat/>
    <w:uiPriority w:val="0"/>
    <w:pPr>
      <w:tabs>
        <w:tab w:val="center" w:pos="4153"/>
        <w:tab w:val="right" w:pos="8306"/>
      </w:tabs>
      <w:snapToGrid w:val="0"/>
      <w:jc w:val="left"/>
    </w:pPr>
    <w:rPr>
      <w:sz w:val="18"/>
    </w:rPr>
  </w:style>
  <w:style w:type="paragraph" w:styleId="23">
    <w:name w:val="header"/>
    <w:basedOn w:val="1"/>
    <w:link w:val="44"/>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toc 4"/>
    <w:basedOn w:val="1"/>
    <w:next w:val="1"/>
    <w:qFormat/>
    <w:uiPriority w:val="0"/>
    <w:pPr>
      <w:ind w:left="1260" w:leftChars="600"/>
    </w:pPr>
  </w:style>
  <w:style w:type="paragraph" w:styleId="26">
    <w:name w:val="Subtitle"/>
    <w:basedOn w:val="1"/>
    <w:next w:val="1"/>
    <w:qFormat/>
    <w:uiPriority w:val="0"/>
    <w:pPr>
      <w:adjustRightInd w:val="0"/>
      <w:spacing w:before="240" w:after="60" w:line="312" w:lineRule="atLeast"/>
      <w:jc w:val="center"/>
      <w:textAlignment w:val="baseline"/>
      <w:outlineLvl w:val="1"/>
    </w:pPr>
    <w:rPr>
      <w:rFonts w:ascii="Cambria" w:hAnsi="Cambria"/>
      <w:b/>
      <w:bCs/>
      <w:kern w:val="28"/>
      <w:sz w:val="32"/>
      <w:szCs w:val="32"/>
    </w:rPr>
  </w:style>
  <w:style w:type="paragraph" w:styleId="27">
    <w:name w:val="toc 6"/>
    <w:basedOn w:val="1"/>
    <w:next w:val="1"/>
    <w:qFormat/>
    <w:uiPriority w:val="0"/>
    <w:pPr>
      <w:ind w:left="2100" w:leftChars="1000"/>
    </w:pPr>
  </w:style>
  <w:style w:type="paragraph" w:styleId="28">
    <w:name w:val="toc 2"/>
    <w:basedOn w:val="1"/>
    <w:next w:val="1"/>
    <w:qFormat/>
    <w:uiPriority w:val="0"/>
    <w:pPr>
      <w:ind w:left="420" w:leftChars="200"/>
    </w:pPr>
  </w:style>
  <w:style w:type="paragraph" w:styleId="29">
    <w:name w:val="toc 9"/>
    <w:basedOn w:val="1"/>
    <w:next w:val="1"/>
    <w:qFormat/>
    <w:uiPriority w:val="0"/>
    <w:pPr>
      <w:ind w:left="3360" w:leftChars="1600"/>
    </w:pPr>
  </w:style>
  <w:style w:type="paragraph" w:styleId="30">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32">
    <w:name w:val="Table Grid"/>
    <w:basedOn w:val="31"/>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page number"/>
    <w:basedOn w:val="33"/>
    <w:qFormat/>
    <w:uiPriority w:val="0"/>
  </w:style>
  <w:style w:type="character" w:styleId="35">
    <w:name w:val="FollowedHyperlink"/>
    <w:basedOn w:val="33"/>
    <w:qFormat/>
    <w:uiPriority w:val="0"/>
    <w:rPr>
      <w:color w:val="800080"/>
      <w:u w:val="single"/>
    </w:rPr>
  </w:style>
  <w:style w:type="character" w:styleId="36">
    <w:name w:val="Hyperlink"/>
    <w:basedOn w:val="33"/>
    <w:qFormat/>
    <w:uiPriority w:val="0"/>
    <w:rPr>
      <w:color w:val="0563C1" w:themeColor="hyperlink"/>
      <w:u w:val="single"/>
      <w14:textFill>
        <w14:solidFill>
          <w14:schemeClr w14:val="hlink"/>
        </w14:solidFill>
      </w14:textFill>
    </w:rPr>
  </w:style>
  <w:style w:type="paragraph" w:customStyle="1" w:styleId="37">
    <w:name w:val="列出段落1"/>
    <w:basedOn w:val="1"/>
    <w:qFormat/>
    <w:uiPriority w:val="34"/>
    <w:pPr>
      <w:ind w:firstLine="420" w:firstLineChars="200"/>
    </w:pPr>
    <w:rPr>
      <w:rFonts w:ascii="Calibri" w:hAnsi="Calibri" w:eastAsia="宋体" w:cs="Calibri"/>
      <w:szCs w:val="21"/>
    </w:rPr>
  </w:style>
  <w:style w:type="paragraph" w:customStyle="1" w:styleId="38">
    <w:name w:val="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
    <w:name w:val="列出段落2"/>
    <w:basedOn w:val="1"/>
    <w:qFormat/>
    <w:uiPriority w:val="99"/>
    <w:pPr>
      <w:ind w:firstLine="420" w:firstLineChars="200"/>
    </w:pPr>
  </w:style>
  <w:style w:type="character" w:customStyle="1" w:styleId="40">
    <w:name w:val="批注框文本 字符"/>
    <w:basedOn w:val="33"/>
    <w:link w:val="21"/>
    <w:qFormat/>
    <w:uiPriority w:val="0"/>
    <w:rPr>
      <w:rFonts w:asciiTheme="minorHAnsi" w:hAnsiTheme="minorHAnsi" w:eastAsiaTheme="minorEastAsia" w:cstheme="minorBidi"/>
      <w:kern w:val="2"/>
      <w:sz w:val="18"/>
      <w:szCs w:val="18"/>
    </w:rPr>
  </w:style>
  <w:style w:type="paragraph" w:customStyle="1" w:styleId="41">
    <w:name w:val="Table Paragraph"/>
    <w:basedOn w:val="1"/>
    <w:qFormat/>
    <w:uiPriority w:val="1"/>
    <w:pPr>
      <w:framePr w:hSpace="180" w:wrap="around" w:vAnchor="text" w:hAnchor="page" w:x="1292" w:y="432"/>
      <w:suppressOverlap/>
      <w:spacing w:line="278" w:lineRule="auto"/>
      <w:ind w:right="93"/>
    </w:pPr>
    <w:rPr>
      <w:rFonts w:ascii="宋体" w:hAnsi="宋体" w:eastAsia="宋体" w:cs="宋体"/>
      <w:lang w:val="zh-CN" w:bidi="zh-CN"/>
    </w:rPr>
  </w:style>
  <w:style w:type="paragraph" w:customStyle="1" w:styleId="42">
    <w:name w:val="列出段落3"/>
    <w:basedOn w:val="1"/>
    <w:qFormat/>
    <w:uiPriority w:val="1"/>
    <w:pPr>
      <w:ind w:left="113" w:firstLine="420"/>
    </w:pPr>
    <w:rPr>
      <w:rFonts w:ascii="宋体" w:hAnsi="宋体" w:eastAsia="宋体" w:cs="宋体"/>
      <w:lang w:val="zh-CN" w:bidi="zh-CN"/>
    </w:rPr>
  </w:style>
  <w:style w:type="character" w:customStyle="1" w:styleId="43">
    <w:name w:val="标题 2 字符"/>
    <w:link w:val="6"/>
    <w:qFormat/>
    <w:uiPriority w:val="0"/>
    <w:rPr>
      <w:rFonts w:asciiTheme="majorHAnsi" w:hAnsiTheme="majorHAnsi" w:eastAsiaTheme="majorEastAsia" w:cstheme="majorBidi"/>
      <w:b/>
      <w:bCs/>
      <w:sz w:val="32"/>
      <w:szCs w:val="32"/>
    </w:rPr>
  </w:style>
  <w:style w:type="character" w:customStyle="1" w:styleId="44">
    <w:name w:val="页眉 字符"/>
    <w:basedOn w:val="33"/>
    <w:link w:val="23"/>
    <w:qFormat/>
    <w:uiPriority w:val="0"/>
    <w:rPr>
      <w:rFonts w:asciiTheme="minorHAnsi" w:hAnsiTheme="minorHAnsi" w:eastAsiaTheme="minorEastAsia" w:cstheme="minorBidi"/>
      <w:kern w:val="2"/>
      <w:sz w:val="18"/>
      <w:szCs w:val="18"/>
    </w:rPr>
  </w:style>
  <w:style w:type="character" w:customStyle="1" w:styleId="45">
    <w:name w:val="click"/>
    <w:basedOn w:val="33"/>
    <w:qFormat/>
    <w:uiPriority w:val="0"/>
  </w:style>
  <w:style w:type="character" w:customStyle="1" w:styleId="46">
    <w:name w:val="click1"/>
    <w:basedOn w:val="33"/>
    <w:qFormat/>
    <w:uiPriority w:val="0"/>
  </w:style>
  <w:style w:type="paragraph" w:customStyle="1" w:styleId="47">
    <w:name w:val="正文2"/>
    <w:qFormat/>
    <w:uiPriority w:val="0"/>
    <w:rPr>
      <w:rFonts w:ascii="Times New Roman" w:hAnsi="Times New Roman" w:eastAsia="Times New Roman" w:cs="Times New Roman"/>
      <w:sz w:val="24"/>
      <w:szCs w:val="24"/>
      <w:lang w:val="en-US" w:eastAsia="zh-CN" w:bidi="ar-SA"/>
    </w:rPr>
  </w:style>
  <w:style w:type="paragraph" w:customStyle="1" w:styleId="48">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9">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0">
    <w:name w:val="Table Text"/>
    <w:basedOn w:val="1"/>
    <w:semiHidden/>
    <w:qFormat/>
    <w:uiPriority w:val="0"/>
    <w:rPr>
      <w:rFonts w:ascii="仿宋" w:hAnsi="仿宋" w:eastAsia="仿宋" w:cs="仿宋"/>
      <w:szCs w:val="21"/>
      <w:lang w:eastAsia="en-US"/>
    </w:rPr>
  </w:style>
  <w:style w:type="paragraph" w:customStyle="1" w:styleId="51">
    <w:name w:val="p0"/>
    <w:basedOn w:val="1"/>
    <w:qFormat/>
    <w:uiPriority w:val="0"/>
    <w:pPr>
      <w:widowControl/>
      <w:spacing w:line="360" w:lineRule="auto"/>
      <w:ind w:firstLine="200" w:firstLineChars="200"/>
      <w:jc w:val="left"/>
    </w:pPr>
    <w:rPr>
      <w:kern w:val="0"/>
      <w:szCs w:val="21"/>
    </w:rPr>
  </w:style>
  <w:style w:type="character" w:customStyle="1" w:styleId="52">
    <w:name w:val="font31"/>
    <w:basedOn w:val="33"/>
    <w:qFormat/>
    <w:uiPriority w:val="0"/>
    <w:rPr>
      <w:rFonts w:hint="eastAsia" w:ascii="宋体" w:hAnsi="宋体" w:eastAsia="宋体" w:cs="宋体"/>
      <w:color w:val="000000"/>
      <w:sz w:val="21"/>
      <w:szCs w:val="21"/>
      <w:u w:val="none"/>
    </w:rPr>
  </w:style>
  <w:style w:type="character" w:customStyle="1" w:styleId="53">
    <w:name w:val="font71"/>
    <w:basedOn w:val="33"/>
    <w:qFormat/>
    <w:uiPriority w:val="0"/>
    <w:rPr>
      <w:rFonts w:ascii="MS Gothic" w:hAnsi="MS Gothic" w:eastAsia="MS Gothic" w:cs="MS Gothic"/>
      <w:color w:val="000000"/>
      <w:sz w:val="21"/>
      <w:szCs w:val="21"/>
      <w:u w:val="none"/>
    </w:rPr>
  </w:style>
  <w:style w:type="character" w:customStyle="1" w:styleId="54">
    <w:name w:val="font21"/>
    <w:basedOn w:val="33"/>
    <w:qFormat/>
    <w:uiPriority w:val="0"/>
    <w:rPr>
      <w:rFonts w:hint="eastAsia" w:ascii="宋体" w:hAnsi="宋体" w:eastAsia="宋体" w:cs="宋体"/>
      <w:color w:val="000000"/>
      <w:sz w:val="21"/>
      <w:szCs w:val="21"/>
      <w:u w:val="none"/>
    </w:rPr>
  </w:style>
  <w:style w:type="character" w:customStyle="1" w:styleId="55">
    <w:name w:val="font41"/>
    <w:basedOn w:val="33"/>
    <w:qFormat/>
    <w:uiPriority w:val="0"/>
    <w:rPr>
      <w:rFonts w:hint="eastAsia" w:ascii="宋体" w:hAnsi="宋体" w:eastAsia="宋体" w:cs="宋体"/>
      <w:color w:val="000000"/>
      <w:sz w:val="21"/>
      <w:szCs w:val="21"/>
      <w:u w:val="none"/>
    </w:rPr>
  </w:style>
  <w:style w:type="character" w:customStyle="1" w:styleId="56">
    <w:name w:val="font81"/>
    <w:basedOn w:val="33"/>
    <w:qFormat/>
    <w:uiPriority w:val="0"/>
    <w:rPr>
      <w:rFonts w:ascii="MS Gothic" w:hAnsi="MS Gothic" w:eastAsia="MS Gothic" w:cs="MS Gothic"/>
      <w:color w:val="000000"/>
      <w:sz w:val="21"/>
      <w:szCs w:val="21"/>
      <w:u w:val="none"/>
    </w:rPr>
  </w:style>
  <w:style w:type="character" w:customStyle="1" w:styleId="57">
    <w:name w:val="font51"/>
    <w:basedOn w:val="33"/>
    <w:qFormat/>
    <w:uiPriority w:val="0"/>
    <w:rPr>
      <w:rFonts w:hint="eastAsia" w:ascii="宋体" w:hAnsi="宋体" w:eastAsia="宋体" w:cs="宋体"/>
      <w:color w:val="000000"/>
      <w:sz w:val="21"/>
      <w:szCs w:val="21"/>
      <w:u w:val="none"/>
    </w:rPr>
  </w:style>
  <w:style w:type="paragraph" w:customStyle="1" w:styleId="58">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成渝本部</Company>
  <Pages>57</Pages>
  <Words>13631</Words>
  <Characters>14178</Characters>
  <Lines>1181</Lines>
  <Paragraphs>897</Paragraphs>
  <TotalTime>19</TotalTime>
  <ScaleCrop>false</ScaleCrop>
  <LinksUpToDate>false</LinksUpToDate>
  <CharactersWithSpaces>26912</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2025-09-10T06:34:00Z</dcterms:created>
  <dc:creator>lili</dc:creator>
  <cp:lastModifiedBy>李国鑫</cp:lastModifiedBy>
  <cp:lastPrinted>2025-05-24T00:58:00Z</cp:lastPrinted>
  <dcterms:modified xsi:type="dcterms:W3CDTF">2025-10-27T02:23:04Z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6EFFB666E4C1451EACEDB5735446D3AB</vt:lpwstr>
  </property>
</Properties>
</file>