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jc w:val="center"/>
        <w:rPr>
          <w:rFonts w:ascii="Times New Roman" w:hAnsi="Times New Roman"/>
          <w:color w:val="000000"/>
          <w:sz w:val="22"/>
        </w:rPr>
      </w:pPr>
      <w:bookmarkStart w:id="0" w:name="_Toc464451503"/>
      <w:bookmarkStart w:id="1" w:name="_Toc462487361"/>
      <w:bookmarkStart w:id="2" w:name="_Toc464457642"/>
      <w:bookmarkStart w:id="3" w:name="_Toc466974276"/>
      <w:bookmarkStart w:id="4" w:name="_Toc463071331"/>
      <w:bookmarkStart w:id="5" w:name="_Toc464397397"/>
      <w:bookmarkStart w:id="6" w:name="_Toc467034198"/>
      <w:bookmarkStart w:id="7" w:name="_Toc464401350"/>
      <w:bookmarkStart w:id="8" w:name="_Toc463071784"/>
      <w:bookmarkStart w:id="9" w:name="_Toc478889380"/>
      <w:bookmarkStart w:id="10" w:name="_Toc478897898"/>
      <w:bookmarkStart w:id="11" w:name="_Toc462486136"/>
      <w:bookmarkStart w:id="12" w:name="_Toc463067500"/>
    </w:p>
    <w:p>
      <w:pPr>
        <w:pStyle w:val="10"/>
        <w:spacing w:after="0" w:line="640" w:lineRule="exact"/>
        <w:rPr>
          <w:rFonts w:ascii="方正小标宋简体" w:hAnsi="方正小标宋简体" w:eastAsia="方正小标宋简体" w:cs="方正小标宋简体"/>
          <w:b/>
          <w:bCs/>
          <w:sz w:val="48"/>
          <w:szCs w:val="56"/>
        </w:rPr>
      </w:pPr>
      <w:bookmarkStart w:id="13" w:name="_Toc17341"/>
    </w:p>
    <w:p>
      <w:pPr>
        <w:pStyle w:val="10"/>
        <w:spacing w:after="0" w:line="640" w:lineRule="exact"/>
        <w:jc w:val="center"/>
        <w:rPr>
          <w:rFonts w:ascii="方正小标宋简体" w:hAnsi="方正小标宋简体" w:eastAsia="方正小标宋简体" w:cs="方正小标宋简体"/>
          <w:b/>
          <w:bCs/>
          <w:sz w:val="48"/>
          <w:szCs w:val="56"/>
        </w:rPr>
      </w:pPr>
      <w:r>
        <w:rPr>
          <w:rFonts w:hint="eastAsia" w:ascii="方正小标宋简体" w:hAnsi="方正小标宋简体" w:eastAsia="方正小标宋简体" w:cs="方正小标宋简体"/>
          <w:b/>
          <w:bCs/>
          <w:sz w:val="48"/>
          <w:szCs w:val="56"/>
        </w:rPr>
        <w:t>四川成渝高速公路股份有限公司</w:t>
      </w:r>
    </w:p>
    <w:p>
      <w:pPr>
        <w:pStyle w:val="10"/>
        <w:spacing w:after="0" w:line="640" w:lineRule="exact"/>
        <w:jc w:val="center"/>
        <w:rPr>
          <w:rFonts w:ascii="方正小标宋简体" w:hAnsi="方正小标宋简体" w:eastAsia="方正小标宋简体" w:cs="方正小标宋简体"/>
          <w:b/>
          <w:bCs/>
          <w:sz w:val="48"/>
          <w:szCs w:val="56"/>
        </w:rPr>
      </w:pPr>
      <w:r>
        <w:rPr>
          <w:rFonts w:hint="eastAsia" w:ascii="方正小标宋简体" w:hAnsi="方正小标宋简体" w:eastAsia="方正小标宋简体" w:cs="方正小标宋简体"/>
          <w:b/>
          <w:bCs/>
          <w:sz w:val="48"/>
          <w:szCs w:val="56"/>
        </w:rPr>
        <w:t>公路运营管理一分公司</w:t>
      </w:r>
    </w:p>
    <w:p>
      <w:pPr>
        <w:pStyle w:val="10"/>
        <w:spacing w:after="0" w:line="640" w:lineRule="exact"/>
        <w:jc w:val="center"/>
        <w:rPr>
          <w:b/>
          <w:bCs/>
          <w:sz w:val="48"/>
          <w:szCs w:val="56"/>
        </w:rPr>
      </w:pPr>
      <w:r>
        <w:rPr>
          <w:rFonts w:hint="eastAsia" w:ascii="方正小标宋简体" w:hAnsi="方正小标宋简体" w:eastAsia="方正小标宋简体" w:cs="方正小标宋简体"/>
          <w:b/>
          <w:bCs/>
          <w:sz w:val="48"/>
          <w:szCs w:val="56"/>
        </w:rPr>
        <w:t>防雷检测服务项目</w:t>
      </w:r>
      <w:bookmarkEnd w:id="13"/>
    </w:p>
    <w:p>
      <w:pPr>
        <w:spacing w:before="50" w:after="50" w:line="360" w:lineRule="auto"/>
        <w:jc w:val="center"/>
        <w:rPr>
          <w:b/>
          <w:bCs/>
          <w:sz w:val="52"/>
          <w:szCs w:val="52"/>
        </w:rPr>
      </w:pPr>
    </w:p>
    <w:p>
      <w:pPr>
        <w:pStyle w:val="2"/>
        <w:ind w:firstLine="1044"/>
        <w:rPr>
          <w:rFonts w:ascii="Times New Roman" w:hAnsi="Times New Roman"/>
          <w:b/>
          <w:bCs/>
          <w:sz w:val="52"/>
          <w:szCs w:val="52"/>
        </w:rPr>
      </w:pPr>
    </w:p>
    <w:p/>
    <w:p/>
    <w:p>
      <w:pPr>
        <w:spacing w:before="50" w:after="50" w:line="360" w:lineRule="auto"/>
        <w:jc w:val="center"/>
        <w:rPr>
          <w:rFonts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比 选 文 件</w:t>
      </w:r>
    </w:p>
    <w:p>
      <w:pPr>
        <w:spacing w:before="50" w:after="50" w:line="360" w:lineRule="auto"/>
        <w:jc w:val="center"/>
        <w:rPr>
          <w:rFonts w:eastAsia="方正小标宋简体"/>
          <w:sz w:val="60"/>
          <w:szCs w:val="60"/>
        </w:rPr>
      </w:pPr>
    </w:p>
    <w:p>
      <w:pPr>
        <w:pStyle w:val="14"/>
        <w:spacing w:line="360" w:lineRule="auto"/>
        <w:jc w:val="center"/>
        <w:rPr>
          <w:rFonts w:ascii="Times New Roman" w:hAnsi="Times New Roman"/>
          <w:b/>
          <w:color w:val="000000"/>
        </w:rPr>
      </w:pPr>
    </w:p>
    <w:p>
      <w:pPr>
        <w:pStyle w:val="14"/>
        <w:spacing w:line="360" w:lineRule="auto"/>
        <w:jc w:val="center"/>
        <w:rPr>
          <w:rFonts w:ascii="Times New Roman" w:hAnsi="Times New Roman"/>
          <w:b/>
          <w:color w:val="000000"/>
        </w:rPr>
      </w:pPr>
    </w:p>
    <w:p>
      <w:pPr>
        <w:pStyle w:val="14"/>
        <w:spacing w:line="360" w:lineRule="auto"/>
        <w:jc w:val="center"/>
        <w:rPr>
          <w:rFonts w:ascii="Times New Roman" w:hAnsi="Times New Roman"/>
          <w:b/>
          <w:color w:val="000000"/>
        </w:rPr>
      </w:pPr>
    </w:p>
    <w:p>
      <w:pPr>
        <w:pStyle w:val="14"/>
        <w:spacing w:line="360" w:lineRule="auto"/>
        <w:jc w:val="center"/>
        <w:rPr>
          <w:rFonts w:ascii="Times New Roman" w:hAnsi="Times New Roman"/>
          <w:b/>
          <w:color w:val="000000"/>
        </w:rPr>
      </w:pPr>
    </w:p>
    <w:p>
      <w:pPr>
        <w:pStyle w:val="14"/>
        <w:spacing w:line="360" w:lineRule="auto"/>
        <w:jc w:val="center"/>
        <w:rPr>
          <w:rFonts w:ascii="Times New Roman" w:hAnsi="Times New Roman"/>
          <w:b/>
          <w:color w:val="000000"/>
        </w:rPr>
      </w:pPr>
    </w:p>
    <w:p>
      <w:pPr>
        <w:pStyle w:val="14"/>
        <w:spacing w:line="360" w:lineRule="auto"/>
        <w:jc w:val="center"/>
        <w:rPr>
          <w:rFonts w:ascii="Times New Roman" w:hAnsi="Times New Roman"/>
          <w:b/>
          <w:color w:val="000000"/>
        </w:rPr>
      </w:pPr>
    </w:p>
    <w:p>
      <w:pPr>
        <w:pStyle w:val="14"/>
        <w:spacing w:line="360" w:lineRule="auto"/>
        <w:jc w:val="center"/>
        <w:rPr>
          <w:rFonts w:ascii="Times New Roman" w:hAnsi="Times New Roman"/>
          <w:b/>
          <w:color w:val="000000"/>
        </w:rPr>
      </w:pPr>
    </w:p>
    <w:p>
      <w:pPr>
        <w:pStyle w:val="14"/>
        <w:spacing w:line="360" w:lineRule="auto"/>
        <w:jc w:val="center"/>
        <w:rPr>
          <w:rFonts w:ascii="Times New Roman" w:hAnsi="Times New Roman"/>
          <w:b/>
          <w:color w:val="000000"/>
        </w:rPr>
      </w:pPr>
    </w:p>
    <w:p>
      <w:pPr>
        <w:pStyle w:val="14"/>
        <w:spacing w:line="360" w:lineRule="auto"/>
        <w:jc w:val="center"/>
        <w:rPr>
          <w:rFonts w:ascii="Times New Roman" w:hAnsi="Times New Roman"/>
          <w:b/>
          <w:color w:val="000000"/>
          <w:sz w:val="28"/>
          <w:szCs w:val="28"/>
        </w:rPr>
      </w:pPr>
    </w:p>
    <w:p>
      <w:pPr>
        <w:pStyle w:val="10"/>
        <w:ind w:firstLine="643" w:firstLineChars="200"/>
        <w:rPr>
          <w:b/>
          <w:bCs/>
          <w:sz w:val="32"/>
          <w:szCs w:val="32"/>
        </w:rPr>
      </w:pPr>
      <w:bookmarkStart w:id="14" w:name="_Toc26564"/>
      <w:r>
        <w:rPr>
          <w:b/>
          <w:bCs/>
          <w:sz w:val="32"/>
          <w:szCs w:val="32"/>
        </w:rPr>
        <w:t>比选人：四川成渝高速公路股份有限公司</w:t>
      </w:r>
      <w:bookmarkEnd w:id="14"/>
    </w:p>
    <w:p>
      <w:pPr>
        <w:pStyle w:val="10"/>
        <w:ind w:firstLine="2570" w:firstLineChars="800"/>
        <w:rPr>
          <w:b/>
          <w:bCs/>
          <w:sz w:val="44"/>
          <w:szCs w:val="44"/>
        </w:rPr>
      </w:pPr>
      <w:r>
        <w:rPr>
          <w:b/>
          <w:bCs/>
          <w:sz w:val="32"/>
          <w:szCs w:val="32"/>
        </w:rPr>
        <w:t>公路运营管理一分公司</w:t>
      </w:r>
    </w:p>
    <w:p>
      <w:pPr>
        <w:pStyle w:val="14"/>
        <w:spacing w:line="480" w:lineRule="auto"/>
        <w:ind w:firstLine="1606" w:firstLineChars="500"/>
        <w:rPr>
          <w:rFonts w:ascii="Times New Roman" w:hAnsi="Times New Roman"/>
          <w:b/>
          <w:sz w:val="32"/>
          <w:szCs w:val="32"/>
        </w:rPr>
      </w:pPr>
      <w:r>
        <w:rPr>
          <w:rFonts w:ascii="Times New Roman" w:hAnsi="Times New Roman"/>
          <w:b/>
          <w:sz w:val="32"/>
          <w:szCs w:val="32"/>
        </w:rPr>
        <w:t>日      期：2025年</w:t>
      </w:r>
      <w:r>
        <w:rPr>
          <w:rFonts w:hint="eastAsia" w:ascii="Times New Roman" w:hAnsi="Times New Roman"/>
          <w:b/>
          <w:sz w:val="32"/>
          <w:szCs w:val="32"/>
        </w:rPr>
        <w:t>7</w:t>
      </w:r>
      <w:r>
        <w:rPr>
          <w:rFonts w:ascii="Times New Roman" w:hAnsi="Times New Roman"/>
          <w:b/>
          <w:sz w:val="32"/>
          <w:szCs w:val="32"/>
        </w:rPr>
        <w:t>月</w:t>
      </w:r>
    </w:p>
    <w:p>
      <w:pPr>
        <w:pStyle w:val="14"/>
        <w:spacing w:line="360" w:lineRule="auto"/>
        <w:jc w:val="center"/>
        <w:rPr>
          <w:rFonts w:ascii="Times New Roman" w:hAnsi="Times New Roman" w:eastAsia="黑体"/>
          <w:b/>
          <w:sz w:val="44"/>
        </w:rPr>
      </w:pPr>
      <w:r>
        <w:rPr>
          <w:rFonts w:ascii="Times New Roman" w:hAnsi="Times New Roman" w:eastAsia="黑体"/>
          <w:b/>
          <w:sz w:val="44"/>
        </w:rPr>
        <w:t>总 目 录</w:t>
      </w:r>
    </w:p>
    <w:p>
      <w:pPr>
        <w:pStyle w:val="14"/>
        <w:spacing w:line="360" w:lineRule="auto"/>
        <w:jc w:val="center"/>
        <w:rPr>
          <w:rFonts w:ascii="Times New Roman" w:hAnsi="Times New Roman" w:eastAsia="黑体"/>
          <w:b/>
          <w:sz w:val="44"/>
        </w:rPr>
      </w:pPr>
    </w:p>
    <w:sdt>
      <w:sdtPr>
        <w:rPr>
          <w:rFonts w:ascii="宋体" w:hAnsi="宋体"/>
          <w:szCs w:val="20"/>
        </w:rPr>
        <w:id w:val="147478042"/>
        <w:docPartObj>
          <w:docPartGallery w:val="Table of Contents"/>
          <w:docPartUnique/>
        </w:docPartObj>
      </w:sdtPr>
      <w:sdtEndPr>
        <w:rPr>
          <w:rFonts w:ascii="Times New Roman" w:hAnsi="Times New Roman"/>
          <w:szCs w:val="20"/>
        </w:rPr>
      </w:sdtEndPr>
      <w:sdtContent>
        <w:p>
          <w:pPr>
            <w:jc w:val="center"/>
          </w:pPr>
        </w:p>
        <w:p>
          <w:pPr>
            <w:pStyle w:val="18"/>
            <w:spacing w:line="560" w:lineRule="exact"/>
            <w:ind w:firstLine="0"/>
            <w:rPr>
              <w:rFonts w:asciiTheme="minorHAnsi" w:hAnsiTheme="minorHAnsi" w:eastAsiaTheme="minorEastAsia" w:cstheme="minorBidi"/>
              <w:b w:val="0"/>
              <w:kern w:val="2"/>
              <w:sz w:val="28"/>
              <w:szCs w:val="28"/>
            </w:rPr>
          </w:pP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TOC \o "1-1" \h \u </w:instrText>
          </w:r>
          <w:r>
            <w:rPr>
              <w:rFonts w:hint="eastAsia" w:ascii="黑体" w:hAnsi="黑体" w:eastAsia="黑体" w:cs="黑体"/>
              <w:b w:val="0"/>
              <w:bCs/>
              <w:sz w:val="28"/>
              <w:szCs w:val="28"/>
            </w:rPr>
            <w:fldChar w:fldCharType="separate"/>
          </w:r>
          <w:r>
            <w:rPr>
              <w:sz w:val="28"/>
              <w:szCs w:val="28"/>
            </w:rPr>
            <w:fldChar w:fldCharType="begin"/>
          </w:r>
          <w:r>
            <w:rPr>
              <w:sz w:val="28"/>
              <w:szCs w:val="28"/>
            </w:rPr>
            <w:instrText xml:space="preserve"> HYPERLINK \l "_Toc202215190" </w:instrText>
          </w:r>
          <w:r>
            <w:rPr>
              <w:sz w:val="28"/>
              <w:szCs w:val="28"/>
            </w:rPr>
            <w:fldChar w:fldCharType="separate"/>
          </w:r>
          <w:r>
            <w:rPr>
              <w:rStyle w:val="28"/>
              <w:rFonts w:hint="eastAsia" w:eastAsia="黑体"/>
              <w:sz w:val="28"/>
              <w:szCs w:val="28"/>
            </w:rPr>
            <w:t>第一章  比选公告</w:t>
          </w:r>
          <w:r>
            <w:rPr>
              <w:sz w:val="28"/>
              <w:szCs w:val="28"/>
            </w:rPr>
            <w:tab/>
          </w:r>
          <w:r>
            <w:rPr>
              <w:sz w:val="28"/>
              <w:szCs w:val="28"/>
            </w:rPr>
            <w:fldChar w:fldCharType="begin"/>
          </w:r>
          <w:r>
            <w:rPr>
              <w:sz w:val="28"/>
              <w:szCs w:val="28"/>
            </w:rPr>
            <w:instrText xml:space="preserve"> PAGEREF _Toc202215190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8"/>
            <w:spacing w:line="560" w:lineRule="exact"/>
            <w:ind w:firstLine="0"/>
            <w:rPr>
              <w:rFonts w:asciiTheme="minorHAnsi" w:hAnsiTheme="minorHAnsi" w:eastAsiaTheme="minorEastAsia" w:cstheme="minorBidi"/>
              <w:b w:val="0"/>
              <w:kern w:val="2"/>
              <w:sz w:val="28"/>
              <w:szCs w:val="28"/>
            </w:rPr>
          </w:pPr>
          <w:r>
            <w:rPr>
              <w:sz w:val="28"/>
              <w:szCs w:val="28"/>
            </w:rPr>
            <w:fldChar w:fldCharType="begin"/>
          </w:r>
          <w:r>
            <w:rPr>
              <w:sz w:val="28"/>
              <w:szCs w:val="28"/>
            </w:rPr>
            <w:instrText xml:space="preserve"> HYPERLINK \l "_Toc202215191" </w:instrText>
          </w:r>
          <w:r>
            <w:rPr>
              <w:sz w:val="28"/>
              <w:szCs w:val="28"/>
            </w:rPr>
            <w:fldChar w:fldCharType="separate"/>
          </w:r>
          <w:r>
            <w:rPr>
              <w:rStyle w:val="28"/>
              <w:rFonts w:hint="eastAsia" w:eastAsia="黑体"/>
              <w:sz w:val="28"/>
              <w:szCs w:val="28"/>
            </w:rPr>
            <w:t>第二章</w:t>
          </w:r>
          <w:r>
            <w:rPr>
              <w:rStyle w:val="28"/>
              <w:rFonts w:hint="eastAsia" w:eastAsia="黑体"/>
              <w:sz w:val="28"/>
              <w:szCs w:val="28"/>
              <w:lang w:val="en-US" w:eastAsia="zh-CN"/>
            </w:rPr>
            <w:t xml:space="preserve">  </w:t>
          </w:r>
          <w:r>
            <w:rPr>
              <w:rStyle w:val="28"/>
              <w:rFonts w:hint="eastAsia" w:eastAsia="黑体"/>
              <w:sz w:val="28"/>
              <w:szCs w:val="28"/>
            </w:rPr>
            <w:t>比选申请人须知</w:t>
          </w:r>
          <w:r>
            <w:rPr>
              <w:sz w:val="28"/>
              <w:szCs w:val="28"/>
            </w:rPr>
            <w:tab/>
          </w:r>
          <w:r>
            <w:rPr>
              <w:sz w:val="28"/>
              <w:szCs w:val="28"/>
            </w:rPr>
            <w:fldChar w:fldCharType="begin"/>
          </w:r>
          <w:r>
            <w:rPr>
              <w:sz w:val="28"/>
              <w:szCs w:val="28"/>
            </w:rPr>
            <w:instrText xml:space="preserve"> PAGEREF _Toc202215191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8"/>
            <w:spacing w:line="560" w:lineRule="exact"/>
            <w:ind w:firstLine="0"/>
            <w:rPr>
              <w:rFonts w:asciiTheme="minorHAnsi" w:hAnsiTheme="minorHAnsi" w:eastAsiaTheme="minorEastAsia" w:cstheme="minorBidi"/>
              <w:b w:val="0"/>
              <w:kern w:val="2"/>
              <w:sz w:val="28"/>
              <w:szCs w:val="28"/>
            </w:rPr>
          </w:pPr>
          <w:r>
            <w:rPr>
              <w:sz w:val="28"/>
              <w:szCs w:val="28"/>
            </w:rPr>
            <w:fldChar w:fldCharType="begin"/>
          </w:r>
          <w:r>
            <w:rPr>
              <w:sz w:val="28"/>
              <w:szCs w:val="28"/>
            </w:rPr>
            <w:instrText xml:space="preserve"> HYPERLINK \l "_Toc202215192" </w:instrText>
          </w:r>
          <w:r>
            <w:rPr>
              <w:sz w:val="28"/>
              <w:szCs w:val="28"/>
            </w:rPr>
            <w:fldChar w:fldCharType="separate"/>
          </w:r>
          <w:r>
            <w:rPr>
              <w:rStyle w:val="28"/>
              <w:rFonts w:hint="eastAsia" w:eastAsia="黑体"/>
              <w:sz w:val="28"/>
              <w:szCs w:val="28"/>
            </w:rPr>
            <w:t>第三章  评审办法</w:t>
          </w:r>
          <w:r>
            <w:rPr>
              <w:sz w:val="28"/>
              <w:szCs w:val="28"/>
            </w:rPr>
            <w:tab/>
          </w:r>
          <w:r>
            <w:rPr>
              <w:sz w:val="28"/>
              <w:szCs w:val="28"/>
            </w:rPr>
            <w:fldChar w:fldCharType="begin"/>
          </w:r>
          <w:r>
            <w:rPr>
              <w:sz w:val="28"/>
              <w:szCs w:val="28"/>
            </w:rPr>
            <w:instrText xml:space="preserve"> PAGEREF _Toc202215192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8"/>
            <w:spacing w:line="560" w:lineRule="exact"/>
            <w:ind w:firstLine="0"/>
            <w:rPr>
              <w:rFonts w:asciiTheme="minorHAnsi" w:hAnsiTheme="minorHAnsi" w:eastAsiaTheme="minorEastAsia" w:cstheme="minorBidi"/>
              <w:b w:val="0"/>
              <w:kern w:val="2"/>
              <w:sz w:val="28"/>
              <w:szCs w:val="28"/>
            </w:rPr>
          </w:pPr>
          <w:r>
            <w:rPr>
              <w:sz w:val="28"/>
              <w:szCs w:val="28"/>
            </w:rPr>
            <w:fldChar w:fldCharType="begin"/>
          </w:r>
          <w:r>
            <w:rPr>
              <w:sz w:val="28"/>
              <w:szCs w:val="28"/>
            </w:rPr>
            <w:instrText xml:space="preserve"> HYPERLINK \l "_Toc202215193" </w:instrText>
          </w:r>
          <w:r>
            <w:rPr>
              <w:sz w:val="28"/>
              <w:szCs w:val="28"/>
            </w:rPr>
            <w:fldChar w:fldCharType="separate"/>
          </w:r>
          <w:r>
            <w:rPr>
              <w:rStyle w:val="28"/>
              <w:rFonts w:hint="eastAsia" w:eastAsia="黑体"/>
              <w:sz w:val="28"/>
              <w:szCs w:val="28"/>
            </w:rPr>
            <w:t xml:space="preserve">第四章 </w:t>
          </w:r>
          <w:r>
            <w:rPr>
              <w:rStyle w:val="28"/>
              <w:rFonts w:hint="eastAsia" w:eastAsia="黑体"/>
              <w:sz w:val="28"/>
              <w:szCs w:val="28"/>
              <w:lang w:val="en-US" w:eastAsia="zh-CN"/>
            </w:rPr>
            <w:t xml:space="preserve"> </w:t>
          </w:r>
          <w:r>
            <w:rPr>
              <w:rStyle w:val="28"/>
              <w:rFonts w:hint="eastAsia" w:eastAsia="黑体"/>
              <w:sz w:val="28"/>
              <w:szCs w:val="28"/>
            </w:rPr>
            <w:t>合同条款及格式</w:t>
          </w:r>
          <w:r>
            <w:rPr>
              <w:sz w:val="28"/>
              <w:szCs w:val="28"/>
            </w:rPr>
            <w:tab/>
          </w:r>
          <w:r>
            <w:rPr>
              <w:sz w:val="28"/>
              <w:szCs w:val="28"/>
            </w:rPr>
            <w:fldChar w:fldCharType="begin"/>
          </w:r>
          <w:r>
            <w:rPr>
              <w:sz w:val="28"/>
              <w:szCs w:val="28"/>
            </w:rPr>
            <w:instrText xml:space="preserve"> PAGEREF _Toc202215193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8"/>
            <w:spacing w:line="560" w:lineRule="exact"/>
            <w:ind w:firstLine="0"/>
            <w:rPr>
              <w:rFonts w:asciiTheme="minorHAnsi" w:hAnsiTheme="minorHAnsi" w:eastAsiaTheme="minorEastAsia" w:cstheme="minorBidi"/>
              <w:b w:val="0"/>
              <w:kern w:val="2"/>
              <w:sz w:val="28"/>
              <w:szCs w:val="28"/>
            </w:rPr>
          </w:pPr>
          <w:r>
            <w:rPr>
              <w:sz w:val="28"/>
              <w:szCs w:val="28"/>
            </w:rPr>
            <w:fldChar w:fldCharType="begin"/>
          </w:r>
          <w:r>
            <w:rPr>
              <w:sz w:val="28"/>
              <w:szCs w:val="28"/>
            </w:rPr>
            <w:instrText xml:space="preserve"> HYPERLINK \l "_Toc202215194" </w:instrText>
          </w:r>
          <w:r>
            <w:rPr>
              <w:sz w:val="28"/>
              <w:szCs w:val="28"/>
            </w:rPr>
            <w:fldChar w:fldCharType="separate"/>
          </w:r>
          <w:r>
            <w:rPr>
              <w:rStyle w:val="28"/>
              <w:rFonts w:hint="eastAsia" w:eastAsia="黑体"/>
              <w:sz w:val="28"/>
              <w:szCs w:val="28"/>
            </w:rPr>
            <w:t>第五章</w:t>
          </w:r>
          <w:r>
            <w:rPr>
              <w:rStyle w:val="28"/>
              <w:rFonts w:hint="eastAsia" w:eastAsia="黑体"/>
              <w:sz w:val="28"/>
              <w:szCs w:val="28"/>
              <w:lang w:val="en-US" w:eastAsia="zh-CN"/>
            </w:rPr>
            <w:t xml:space="preserve">  </w:t>
          </w:r>
          <w:r>
            <w:rPr>
              <w:rStyle w:val="28"/>
              <w:rFonts w:hint="eastAsia" w:eastAsia="黑体"/>
              <w:sz w:val="28"/>
              <w:szCs w:val="28"/>
            </w:rPr>
            <w:t>防雷检测点位统计表</w:t>
          </w:r>
          <w:r>
            <w:rPr>
              <w:sz w:val="28"/>
              <w:szCs w:val="28"/>
            </w:rPr>
            <w:tab/>
          </w:r>
          <w:r>
            <w:rPr>
              <w:sz w:val="28"/>
              <w:szCs w:val="28"/>
            </w:rPr>
            <w:fldChar w:fldCharType="begin"/>
          </w:r>
          <w:r>
            <w:rPr>
              <w:sz w:val="28"/>
              <w:szCs w:val="28"/>
            </w:rPr>
            <w:instrText xml:space="preserve"> PAGEREF _Toc202215194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8"/>
            <w:spacing w:line="560" w:lineRule="exact"/>
            <w:ind w:firstLine="0"/>
            <w:rPr>
              <w:rFonts w:asciiTheme="minorHAnsi" w:hAnsiTheme="minorHAnsi" w:eastAsiaTheme="minorEastAsia" w:cstheme="minorBidi"/>
              <w:b w:val="0"/>
              <w:kern w:val="2"/>
              <w:sz w:val="28"/>
              <w:szCs w:val="28"/>
            </w:rPr>
          </w:pPr>
          <w:r>
            <w:rPr>
              <w:sz w:val="28"/>
              <w:szCs w:val="28"/>
            </w:rPr>
            <w:fldChar w:fldCharType="begin"/>
          </w:r>
          <w:r>
            <w:rPr>
              <w:sz w:val="28"/>
              <w:szCs w:val="28"/>
            </w:rPr>
            <w:instrText xml:space="preserve"> HYPERLINK \l "_Toc202215195" </w:instrText>
          </w:r>
          <w:r>
            <w:rPr>
              <w:sz w:val="28"/>
              <w:szCs w:val="28"/>
            </w:rPr>
            <w:fldChar w:fldCharType="separate"/>
          </w:r>
          <w:r>
            <w:rPr>
              <w:rStyle w:val="28"/>
              <w:rFonts w:hint="eastAsia" w:eastAsia="黑体"/>
              <w:sz w:val="28"/>
              <w:szCs w:val="28"/>
            </w:rPr>
            <w:t>第六章</w:t>
          </w:r>
          <w:r>
            <w:rPr>
              <w:rStyle w:val="28"/>
              <w:rFonts w:hint="eastAsia" w:eastAsia="黑体"/>
              <w:sz w:val="28"/>
              <w:szCs w:val="28"/>
              <w:lang w:val="en-US" w:eastAsia="zh-CN"/>
            </w:rPr>
            <w:t xml:space="preserve">  </w:t>
          </w:r>
          <w:r>
            <w:rPr>
              <w:rStyle w:val="28"/>
              <w:rFonts w:hint="eastAsia" w:eastAsia="黑体"/>
              <w:sz w:val="28"/>
              <w:szCs w:val="28"/>
            </w:rPr>
            <w:t>比选申请文件</w:t>
          </w:r>
          <w:r>
            <w:rPr>
              <w:sz w:val="28"/>
              <w:szCs w:val="28"/>
            </w:rPr>
            <w:tab/>
          </w:r>
          <w:r>
            <w:rPr>
              <w:sz w:val="28"/>
              <w:szCs w:val="28"/>
            </w:rPr>
            <w:fldChar w:fldCharType="begin"/>
          </w:r>
          <w:r>
            <w:rPr>
              <w:sz w:val="28"/>
              <w:szCs w:val="28"/>
            </w:rPr>
            <w:instrText xml:space="preserve"> PAGEREF _Toc202215195 \h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14"/>
            <w:spacing w:line="480" w:lineRule="auto"/>
            <w:ind w:firstLine="562" w:firstLineChars="200"/>
            <w:rPr>
              <w:rFonts w:ascii="Times New Roman" w:hAnsi="Times New Roman"/>
              <w:bCs/>
              <w:caps/>
            </w:rPr>
          </w:pPr>
          <w:r>
            <w:rPr>
              <w:rFonts w:hint="eastAsia" w:ascii="黑体" w:hAnsi="黑体" w:eastAsia="黑体" w:cs="黑体"/>
              <w:b/>
              <w:bCs/>
              <w:sz w:val="28"/>
              <w:szCs w:val="28"/>
            </w:rPr>
            <w:fldChar w:fldCharType="end"/>
          </w:r>
        </w:p>
      </w:sdtContent>
    </w:sdt>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14"/>
        <w:spacing w:line="480" w:lineRule="auto"/>
        <w:ind w:firstLine="420" w:firstLineChars="200"/>
        <w:rPr>
          <w:rFonts w:ascii="Times New Roman" w:hAnsi="Times New Roman"/>
          <w:bCs/>
          <w:caps/>
        </w:rPr>
      </w:pPr>
    </w:p>
    <w:p>
      <w:pPr>
        <w:pStyle w:val="5"/>
        <w:numPr>
          <w:ilvl w:val="0"/>
          <w:numId w:val="1"/>
        </w:numPr>
        <w:jc w:val="center"/>
        <w:rPr>
          <w:rFonts w:eastAsia="黑体"/>
          <w:sz w:val="36"/>
          <w:szCs w:val="36"/>
        </w:rPr>
      </w:pPr>
      <w:bookmarkStart w:id="15" w:name="_Toc400952822"/>
      <w:bookmarkStart w:id="16" w:name="_Toc26429"/>
      <w:bookmarkStart w:id="17" w:name="_Toc202215190"/>
      <w:bookmarkStart w:id="18" w:name="OLE_LINK13"/>
      <w:r>
        <w:rPr>
          <w:rFonts w:hint="eastAsia" w:eastAsia="黑体"/>
          <w:sz w:val="36"/>
          <w:szCs w:val="36"/>
          <w:lang w:val="en-US" w:eastAsia="zh-CN"/>
        </w:rPr>
        <w:t xml:space="preserve"> </w:t>
      </w:r>
      <w:r>
        <w:rPr>
          <w:rFonts w:eastAsia="黑体"/>
          <w:sz w:val="36"/>
          <w:szCs w:val="36"/>
        </w:rPr>
        <w:t>比选</w:t>
      </w:r>
      <w:bookmarkEnd w:id="15"/>
      <w:r>
        <w:rPr>
          <w:rFonts w:eastAsia="黑体"/>
          <w:sz w:val="36"/>
          <w:szCs w:val="36"/>
        </w:rPr>
        <w:t>公告</w:t>
      </w:r>
      <w:bookmarkEnd w:id="16"/>
      <w:bookmarkEnd w:id="17"/>
    </w:p>
    <w:p>
      <w:pPr>
        <w:pStyle w:val="23"/>
        <w:spacing w:line="560" w:lineRule="exact"/>
        <w:ind w:left="0" w:firstLine="0" w:firstLineChars="0"/>
        <w:rPr>
          <w:rFonts w:ascii="Times New Roman" w:hAnsi="Times New Roman" w:eastAsia="方正小标宋简体"/>
          <w:b w:val="0"/>
          <w:bCs w:val="0"/>
          <w:sz w:val="36"/>
          <w:szCs w:val="36"/>
        </w:rPr>
      </w:pPr>
    </w:p>
    <w:p>
      <w:pPr>
        <w:pStyle w:val="14"/>
        <w:spacing w:line="440" w:lineRule="exact"/>
        <w:outlineLvl w:val="1"/>
        <w:rPr>
          <w:rFonts w:ascii="Times New Roman" w:hAnsi="Times New Roman" w:eastAsia="黑体"/>
          <w:b/>
          <w:color w:val="000000" w:themeColor="text1"/>
          <w:sz w:val="24"/>
          <w:szCs w:val="24"/>
          <w14:textFill>
            <w14:solidFill>
              <w14:schemeClr w14:val="tx1"/>
            </w14:solidFill>
          </w14:textFill>
        </w:rPr>
      </w:pPr>
      <w:r>
        <w:rPr>
          <w:rFonts w:ascii="Times New Roman" w:hAnsi="Times New Roman" w:eastAsia="黑体"/>
          <w:b/>
          <w:color w:val="000000" w:themeColor="text1"/>
          <w:sz w:val="24"/>
          <w:szCs w:val="24"/>
          <w14:textFill>
            <w14:solidFill>
              <w14:schemeClr w14:val="tx1"/>
            </w14:solidFill>
          </w14:textFill>
        </w:rPr>
        <w:t>一、比选条件</w:t>
      </w:r>
    </w:p>
    <w:p>
      <w:pPr>
        <w:widowControl/>
        <w:spacing w:line="440" w:lineRule="exact"/>
        <w:ind w:firstLine="480" w:firstLineChars="200"/>
        <w:rPr>
          <w:bCs/>
          <w:color w:val="000000" w:themeColor="text1"/>
          <w:kern w:val="0"/>
          <w:sz w:val="24"/>
          <w14:textFill>
            <w14:solidFill>
              <w14:schemeClr w14:val="tx1"/>
            </w14:solidFill>
          </w14:textFill>
        </w:rPr>
      </w:pPr>
      <w:bookmarkStart w:id="19" w:name="OLE_LINK9"/>
      <w:r>
        <w:rPr>
          <w:color w:val="000000"/>
          <w:sz w:val="24"/>
        </w:rPr>
        <w:t>四川成渝高速公路股份有限公司公路运营管理一分公司防雷检测服务项目（以下简称</w:t>
      </w:r>
      <w:r>
        <w:rPr>
          <w:rFonts w:hint="eastAsia"/>
          <w:color w:val="000000"/>
          <w:sz w:val="24"/>
        </w:rPr>
        <w:t>“</w:t>
      </w:r>
      <w:r>
        <w:rPr>
          <w:color w:val="000000"/>
          <w:sz w:val="24"/>
        </w:rPr>
        <w:t>本项目</w:t>
      </w:r>
      <w:r>
        <w:rPr>
          <w:rFonts w:hint="eastAsia"/>
          <w:color w:val="000000"/>
          <w:sz w:val="24"/>
        </w:rPr>
        <w:t>”</w:t>
      </w:r>
      <w:r>
        <w:rPr>
          <w:color w:val="000000"/>
          <w:sz w:val="24"/>
        </w:rPr>
        <w:t>），已由四川成渝高速公路股份有限公司公路运营管理一分公司批准实施，资金来源为自筹。项目已具备比选条件，</w:t>
      </w:r>
      <w:r>
        <w:rPr>
          <w:rFonts w:hint="eastAsia"/>
          <w:color w:val="000000"/>
          <w:sz w:val="24"/>
        </w:rPr>
        <w:t>现</w:t>
      </w:r>
      <w:r>
        <w:rPr>
          <w:color w:val="000000"/>
          <w:sz w:val="24"/>
        </w:rPr>
        <w:t>由四川成渝高速公路股份有限公司公路运营管理一分公司作为本项目比选人（以下简称</w:t>
      </w:r>
      <w:r>
        <w:rPr>
          <w:rFonts w:hint="eastAsia"/>
          <w:color w:val="000000"/>
          <w:sz w:val="24"/>
        </w:rPr>
        <w:t>“</w:t>
      </w:r>
      <w:r>
        <w:rPr>
          <w:color w:val="000000"/>
          <w:sz w:val="24"/>
        </w:rPr>
        <w:t>比选人</w:t>
      </w:r>
      <w:r>
        <w:rPr>
          <w:rFonts w:hint="eastAsia"/>
          <w:color w:val="000000"/>
          <w:sz w:val="24"/>
        </w:rPr>
        <w:t>”</w:t>
      </w:r>
      <w:r>
        <w:rPr>
          <w:color w:val="000000"/>
          <w:sz w:val="24"/>
        </w:rPr>
        <w:t>），对本项目进行公开比选。</w:t>
      </w:r>
    </w:p>
    <w:bookmarkEnd w:id="19"/>
    <w:p>
      <w:pPr>
        <w:pStyle w:val="14"/>
        <w:spacing w:line="440" w:lineRule="exact"/>
        <w:outlineLvl w:val="1"/>
        <w:rPr>
          <w:rFonts w:ascii="Times New Roman" w:hAnsi="Times New Roman" w:eastAsia="黑体"/>
          <w:b/>
          <w:color w:val="000000" w:themeColor="text1"/>
          <w:sz w:val="24"/>
          <w:szCs w:val="24"/>
          <w14:textFill>
            <w14:solidFill>
              <w14:schemeClr w14:val="tx1"/>
            </w14:solidFill>
          </w14:textFill>
        </w:rPr>
      </w:pPr>
      <w:r>
        <w:rPr>
          <w:rFonts w:ascii="Times New Roman" w:hAnsi="Times New Roman" w:eastAsia="黑体"/>
          <w:b/>
          <w:color w:val="000000" w:themeColor="text1"/>
          <w:sz w:val="24"/>
          <w:szCs w:val="24"/>
          <w14:textFill>
            <w14:solidFill>
              <w14:schemeClr w14:val="tx1"/>
            </w14:solidFill>
          </w14:textFill>
        </w:rPr>
        <w:t>二、比选项目及内容</w:t>
      </w:r>
    </w:p>
    <w:p>
      <w:pPr>
        <w:widowControl/>
        <w:spacing w:line="440" w:lineRule="exact"/>
        <w:rPr>
          <w:rFonts w:eastAsia="黑体"/>
          <w:b/>
          <w:bCs/>
          <w:color w:val="000000"/>
          <w:sz w:val="24"/>
        </w:rPr>
      </w:pPr>
      <w:bookmarkStart w:id="20" w:name="_Toc23350"/>
      <w:r>
        <w:rPr>
          <w:rFonts w:eastAsia="黑体"/>
          <w:b/>
          <w:bCs/>
          <w:color w:val="000000"/>
          <w:sz w:val="24"/>
        </w:rPr>
        <w:t>（一）项目概况</w:t>
      </w:r>
      <w:bookmarkEnd w:id="20"/>
    </w:p>
    <w:p>
      <w:pPr>
        <w:pStyle w:val="2"/>
        <w:spacing w:line="440" w:lineRule="exact"/>
        <w:ind w:firstLine="530" w:firstLineChars="221"/>
        <w:rPr>
          <w:rFonts w:hAnsi="宋体" w:eastAsia="宋体" w:cs="宋体"/>
          <w:sz w:val="24"/>
          <w:szCs w:val="24"/>
        </w:rPr>
      </w:pPr>
      <w:r>
        <w:rPr>
          <w:rFonts w:hint="eastAsia" w:hAnsi="宋体" w:eastAsia="宋体" w:cs="宋体"/>
          <w:sz w:val="24"/>
          <w:szCs w:val="24"/>
        </w:rPr>
        <w:t>四川成渝高速公路股份有限公司公路运营管理一分公司根据工作需求拟对所辖高速公路进行年度防雷设施检测工作。比选人管辖的</w:t>
      </w:r>
      <w:r>
        <w:rPr>
          <w:rFonts w:hint="eastAsia" w:hAnsi="宋体" w:eastAsia="宋体" w:cs="宋体"/>
          <w:b/>
          <w:bCs/>
          <w:sz w:val="24"/>
          <w:szCs w:val="24"/>
        </w:rPr>
        <w:t>成渝高速公路</w:t>
      </w:r>
      <w:r>
        <w:rPr>
          <w:rFonts w:hint="eastAsia" w:hAnsi="宋体" w:eastAsia="宋体" w:cs="宋体"/>
          <w:sz w:val="24"/>
          <w:szCs w:val="24"/>
        </w:rPr>
        <w:t>全长207.651公里。全线设有成都、内江两个协调处，服务区两对，停车区三对，分别为简阳北停车区、资阳服务区、资中停车区、内江服务区、隆昌停车区；16个收费站分别为成都站、龙泉湖站、石盘站、简阳北站、简阳站、资阳站、高新区站、球溪西站、球溪东站、鱼溪站、资中站、银山站、内江高新站、内江市中区站、椑木站、渔箭站。</w:t>
      </w:r>
      <w:r>
        <w:rPr>
          <w:rFonts w:hint="eastAsia" w:hAnsi="宋体" w:eastAsia="宋体" w:cs="宋体"/>
          <w:b/>
          <w:bCs/>
          <w:sz w:val="24"/>
          <w:szCs w:val="24"/>
        </w:rPr>
        <w:t>遂宁至广安高速公路</w:t>
      </w:r>
      <w:r>
        <w:rPr>
          <w:rFonts w:hint="eastAsia" w:hAnsi="宋体" w:eastAsia="宋体" w:cs="宋体"/>
          <w:sz w:val="24"/>
          <w:szCs w:val="24"/>
        </w:rPr>
        <w:t>位于四川省遂宁市及广安市境内，路线全长约102.941km，下设广安管理处、遂宁管理处及金桥、三凤、蓬南、赛马、金牛、武胜西、武胜东、齐福8个收费站，飞龙、蓬南两处服务区。</w:t>
      </w:r>
      <w:r>
        <w:rPr>
          <w:rFonts w:hint="eastAsia" w:hAnsi="宋体" w:eastAsia="宋体" w:cs="宋体"/>
          <w:b/>
          <w:bCs/>
          <w:sz w:val="24"/>
          <w:szCs w:val="24"/>
        </w:rPr>
        <w:t>遂宁至西充高速公路</w:t>
      </w:r>
      <w:r>
        <w:rPr>
          <w:rFonts w:hint="eastAsia" w:hAnsi="宋体" w:eastAsia="宋体" w:cs="宋体"/>
          <w:sz w:val="24"/>
          <w:szCs w:val="24"/>
        </w:rPr>
        <w:t>位于四川省遂宁市及南充市境内，路线全长67.644公里。下设西充办公区及吉祥、明月、赤城、七宝寺、常林5个收费站、蓬溪一处服务区、雷凤山、曹家沟两座隧道。</w:t>
      </w:r>
    </w:p>
    <w:p>
      <w:pPr>
        <w:widowControl/>
        <w:spacing w:line="440" w:lineRule="exact"/>
        <w:rPr>
          <w:rFonts w:eastAsia="黑体"/>
          <w:b/>
          <w:bCs/>
          <w:color w:val="000000"/>
          <w:sz w:val="24"/>
        </w:rPr>
      </w:pPr>
      <w:bookmarkStart w:id="21" w:name="_Toc30911"/>
      <w:r>
        <w:rPr>
          <w:rFonts w:eastAsia="黑体"/>
          <w:b/>
          <w:bCs/>
          <w:color w:val="000000"/>
          <w:sz w:val="24"/>
        </w:rPr>
        <w:t>（二）工作内容</w:t>
      </w:r>
      <w:bookmarkEnd w:id="21"/>
    </w:p>
    <w:p>
      <w:pPr>
        <w:widowControl/>
        <w:spacing w:line="440" w:lineRule="exact"/>
        <w:ind w:firstLine="480" w:firstLineChars="200"/>
        <w:rPr>
          <w:color w:val="000000"/>
          <w:sz w:val="24"/>
        </w:rPr>
      </w:pPr>
      <w:bookmarkStart w:id="22" w:name="_Toc28625"/>
      <w:r>
        <w:rPr>
          <w:rFonts w:hint="eastAsia"/>
          <w:color w:val="000000"/>
          <w:sz w:val="24"/>
        </w:rPr>
        <w:t>1.</w:t>
      </w:r>
      <w:r>
        <w:rPr>
          <w:color w:val="000000"/>
          <w:sz w:val="24"/>
        </w:rPr>
        <w:t>比选申请人对比选人所委托检测的建筑物、电气和电子设备等防直击雷、防雷电感应、防雷电波侵入及防雷击电磁脉冲的设施设备进行检测。检测结束，比选申请人应提供符合</w:t>
      </w:r>
      <w:r>
        <w:rPr>
          <w:rFonts w:hint="eastAsia"/>
          <w:color w:val="000000"/>
          <w:sz w:val="24"/>
          <w:lang w:val="en-US" w:eastAsia="zh-CN"/>
        </w:rPr>
        <w:t>气象</w:t>
      </w:r>
      <w:r>
        <w:rPr>
          <w:color w:val="000000"/>
          <w:sz w:val="24"/>
        </w:rPr>
        <w:t>、安监部门要求的《检测报告》，存在问题的应提供《防雷装置整改建议书》。</w:t>
      </w:r>
    </w:p>
    <w:p>
      <w:pPr>
        <w:widowControl/>
        <w:spacing w:line="440" w:lineRule="exact"/>
        <w:ind w:firstLine="480" w:firstLineChars="200"/>
        <w:rPr>
          <w:color w:val="000000"/>
          <w:sz w:val="24"/>
        </w:rPr>
      </w:pPr>
      <w:r>
        <w:rPr>
          <w:rFonts w:hint="eastAsia"/>
          <w:color w:val="000000"/>
          <w:sz w:val="24"/>
        </w:rPr>
        <w:t>2.</w:t>
      </w:r>
      <w:r>
        <w:rPr>
          <w:color w:val="000000"/>
          <w:sz w:val="24"/>
        </w:rPr>
        <w:t>比选人根据比选申请人提供的《防雷装置整改建议书》完成问题整改后，比选申请人应对整改问题提供免费检测和提供相关报告。</w:t>
      </w:r>
    </w:p>
    <w:p>
      <w:pPr>
        <w:widowControl/>
        <w:spacing w:line="440" w:lineRule="exact"/>
        <w:ind w:firstLine="480" w:firstLineChars="200"/>
        <w:rPr>
          <w:color w:val="000000"/>
          <w:sz w:val="24"/>
        </w:rPr>
      </w:pPr>
      <w:r>
        <w:rPr>
          <w:rFonts w:hint="eastAsia"/>
          <w:color w:val="000000"/>
          <w:sz w:val="24"/>
        </w:rPr>
        <w:t>3.具体检测</w:t>
      </w:r>
      <w:r>
        <w:rPr>
          <w:color w:val="000000"/>
          <w:sz w:val="24"/>
        </w:rPr>
        <w:t>数量</w:t>
      </w:r>
      <w:r>
        <w:rPr>
          <w:rFonts w:hint="eastAsia"/>
          <w:color w:val="000000"/>
          <w:sz w:val="24"/>
        </w:rPr>
        <w:t>及点位</w:t>
      </w:r>
      <w:r>
        <w:rPr>
          <w:color w:val="000000"/>
          <w:sz w:val="24"/>
        </w:rPr>
        <w:t>，详见</w:t>
      </w:r>
      <w:r>
        <w:rPr>
          <w:rFonts w:hint="eastAsia"/>
          <w:color w:val="000000"/>
          <w:sz w:val="24"/>
        </w:rPr>
        <w:t>比选文件第五章</w:t>
      </w:r>
      <w:r>
        <w:rPr>
          <w:color w:val="000000"/>
          <w:sz w:val="24"/>
        </w:rPr>
        <w:t>《</w:t>
      </w:r>
      <w:r>
        <w:rPr>
          <w:rFonts w:hint="eastAsia"/>
          <w:color w:val="000000"/>
          <w:sz w:val="24"/>
        </w:rPr>
        <w:t>防雷检测点位统计表</w:t>
      </w:r>
      <w:r>
        <w:rPr>
          <w:color w:val="000000"/>
          <w:sz w:val="24"/>
        </w:rPr>
        <w:t>》。</w:t>
      </w:r>
    </w:p>
    <w:p>
      <w:pPr>
        <w:widowControl/>
        <w:spacing w:line="440" w:lineRule="exact"/>
        <w:rPr>
          <w:rFonts w:eastAsia="黑体"/>
          <w:b/>
          <w:bCs/>
          <w:color w:val="000000"/>
          <w:sz w:val="24"/>
        </w:rPr>
      </w:pPr>
      <w:r>
        <w:rPr>
          <w:rFonts w:eastAsia="黑体"/>
          <w:b/>
          <w:bCs/>
          <w:color w:val="000000"/>
          <w:sz w:val="24"/>
        </w:rPr>
        <w:t>（三）标段划分</w:t>
      </w:r>
      <w:bookmarkEnd w:id="22"/>
    </w:p>
    <w:p>
      <w:pPr>
        <w:widowControl/>
        <w:spacing w:line="440" w:lineRule="exact"/>
        <w:ind w:firstLine="480" w:firstLineChars="200"/>
        <w:rPr>
          <w:color w:val="000000"/>
          <w:sz w:val="24"/>
        </w:rPr>
      </w:pPr>
      <w:r>
        <w:rPr>
          <w:color w:val="000000"/>
          <w:sz w:val="24"/>
        </w:rPr>
        <w:t>本次比选项目划分为一个标段，标段号为CYGS-FL。中选后，中选人按比选人要求分别与四川成渝高速公路股份有限公司公路运营管理一分公司、四川遂广遂西高速公路有限责任公司签订合同。</w:t>
      </w:r>
    </w:p>
    <w:p>
      <w:pPr>
        <w:numPr>
          <w:ilvl w:val="0"/>
          <w:numId w:val="2"/>
        </w:numPr>
        <w:tabs>
          <w:tab w:val="left" w:pos="1160"/>
        </w:tabs>
        <w:spacing w:line="440" w:lineRule="exact"/>
        <w:rPr>
          <w:rFonts w:eastAsia="黑体"/>
          <w:b/>
          <w:bCs/>
          <w:color w:val="000000"/>
          <w:sz w:val="24"/>
        </w:rPr>
      </w:pPr>
      <w:bookmarkStart w:id="23" w:name="OLE_LINK17"/>
      <w:r>
        <w:rPr>
          <w:rFonts w:eastAsia="黑体"/>
          <w:b/>
          <w:bCs/>
          <w:color w:val="000000"/>
          <w:sz w:val="24"/>
        </w:rPr>
        <w:t>计划工期</w:t>
      </w:r>
    </w:p>
    <w:p>
      <w:pPr>
        <w:widowControl/>
        <w:spacing w:line="440" w:lineRule="exact"/>
        <w:ind w:firstLine="480" w:firstLineChars="200"/>
        <w:rPr>
          <w:color w:val="000000"/>
          <w:sz w:val="24"/>
        </w:rPr>
      </w:pPr>
      <w:r>
        <w:rPr>
          <w:color w:val="000000"/>
          <w:sz w:val="24"/>
        </w:rPr>
        <w:t>签订合同之日起</w:t>
      </w:r>
      <w:r>
        <w:rPr>
          <w:sz w:val="24"/>
        </w:rPr>
        <w:t>30</w:t>
      </w:r>
      <w:r>
        <w:rPr>
          <w:color w:val="000000"/>
          <w:sz w:val="24"/>
        </w:rPr>
        <w:t>日。</w:t>
      </w:r>
      <w:bookmarkEnd w:id="23"/>
    </w:p>
    <w:p>
      <w:pPr>
        <w:numPr>
          <w:ilvl w:val="0"/>
          <w:numId w:val="2"/>
        </w:numPr>
        <w:tabs>
          <w:tab w:val="left" w:pos="1160"/>
        </w:tabs>
        <w:spacing w:line="440" w:lineRule="exact"/>
        <w:rPr>
          <w:rFonts w:eastAsia="黑体"/>
          <w:b/>
          <w:bCs/>
          <w:color w:val="000000"/>
          <w:sz w:val="24"/>
        </w:rPr>
      </w:pPr>
      <w:r>
        <w:rPr>
          <w:rFonts w:hint="eastAsia" w:eastAsia="黑体"/>
          <w:b/>
          <w:bCs/>
          <w:color w:val="000000"/>
          <w:sz w:val="24"/>
        </w:rPr>
        <w:t>比选申请最高限价</w:t>
      </w:r>
    </w:p>
    <w:p>
      <w:pPr>
        <w:widowControl/>
        <w:spacing w:line="440" w:lineRule="exact"/>
        <w:ind w:firstLine="482" w:firstLineChars="200"/>
        <w:rPr>
          <w:color w:val="000000"/>
          <w:sz w:val="24"/>
        </w:rPr>
      </w:pPr>
      <w:r>
        <w:rPr>
          <w:b/>
          <w:color w:val="000000"/>
          <w:sz w:val="24"/>
        </w:rPr>
        <w:t>2389</w:t>
      </w:r>
      <w:r>
        <w:rPr>
          <w:rFonts w:hint="eastAsia"/>
          <w:b/>
          <w:color w:val="000000"/>
          <w:sz w:val="24"/>
        </w:rPr>
        <w:t>00</w:t>
      </w:r>
      <w:r>
        <w:rPr>
          <w:color w:val="000000"/>
          <w:sz w:val="24"/>
        </w:rPr>
        <w:t>元</w:t>
      </w:r>
      <w:r>
        <w:rPr>
          <w:rFonts w:hint="eastAsia"/>
          <w:color w:val="000000"/>
          <w:sz w:val="24"/>
        </w:rPr>
        <w:t>（含税），该费用包含但不限于比选申请人为实施和完成本项目工作所需人工、材料、机械设备、仪器使用、管理、</w:t>
      </w:r>
      <w:r>
        <w:rPr>
          <w:rFonts w:hint="eastAsia"/>
          <w:color w:val="000000"/>
          <w:sz w:val="24"/>
          <w:lang w:val="en-US" w:eastAsia="zh-CN"/>
        </w:rPr>
        <w:t>交通、</w:t>
      </w:r>
      <w:r>
        <w:rPr>
          <w:rFonts w:hint="eastAsia"/>
          <w:color w:val="000000"/>
          <w:sz w:val="24"/>
        </w:rPr>
        <w:t>利润、保险、安全、协调、税金等所有的费用，也包括复测费用，比选人不再另行支付任何费用。</w:t>
      </w:r>
      <w:r>
        <w:rPr>
          <w:sz w:val="24"/>
        </w:rPr>
        <w:t>比选申请最高限价为比选申请人报价的控制上限，比选申请报价超过比选申请最高限价的，其比选申请将被否决</w:t>
      </w:r>
      <w:r>
        <w:rPr>
          <w:rFonts w:hint="eastAsia"/>
          <w:sz w:val="24"/>
        </w:rPr>
        <w:t>。</w:t>
      </w:r>
    </w:p>
    <w:p>
      <w:pPr>
        <w:pStyle w:val="14"/>
        <w:spacing w:line="440" w:lineRule="exact"/>
        <w:outlineLvl w:val="1"/>
        <w:rPr>
          <w:rFonts w:ascii="Times New Roman" w:hAnsi="Times New Roman" w:eastAsia="黑体"/>
          <w:b/>
          <w:color w:val="000000" w:themeColor="text1"/>
          <w:sz w:val="24"/>
          <w:szCs w:val="24"/>
          <w14:textFill>
            <w14:solidFill>
              <w14:schemeClr w14:val="tx1"/>
            </w14:solidFill>
          </w14:textFill>
        </w:rPr>
      </w:pPr>
      <w:r>
        <w:rPr>
          <w:rFonts w:ascii="Times New Roman" w:hAnsi="Times New Roman" w:eastAsia="黑体"/>
          <w:b/>
          <w:color w:val="000000" w:themeColor="text1"/>
          <w:sz w:val="24"/>
          <w:szCs w:val="24"/>
          <w14:textFill>
            <w14:solidFill>
              <w14:schemeClr w14:val="tx1"/>
            </w14:solidFill>
          </w14:textFill>
        </w:rPr>
        <w:t>三、比选申请人的资格要求</w:t>
      </w:r>
    </w:p>
    <w:p>
      <w:pPr>
        <w:widowControl/>
        <w:spacing w:line="440" w:lineRule="exact"/>
        <w:rPr>
          <w:color w:val="000000"/>
          <w:sz w:val="24"/>
        </w:rPr>
      </w:pPr>
      <w:bookmarkStart w:id="24" w:name="OLE_LINK3"/>
      <w:r>
        <w:rPr>
          <w:color w:val="000000"/>
          <w:sz w:val="24"/>
        </w:rPr>
        <w:t>（一）申请人的资格要求</w:t>
      </w:r>
    </w:p>
    <w:p>
      <w:pPr>
        <w:widowControl/>
        <w:spacing w:line="400" w:lineRule="exact"/>
        <w:ind w:firstLine="480" w:firstLineChars="200"/>
        <w:rPr>
          <w:color w:val="000000"/>
          <w:sz w:val="24"/>
        </w:rPr>
      </w:pPr>
      <w:r>
        <w:rPr>
          <w:rFonts w:hint="eastAsia"/>
          <w:sz w:val="24"/>
        </w:rPr>
        <w:t>1.</w:t>
      </w:r>
      <w:r>
        <w:rPr>
          <w:sz w:val="24"/>
        </w:rPr>
        <w:t>比选申请人应具有独立法人资格、持有有效营业执照、基本账户开户许可证（基本账户开户行出具）或基本存款账户信息表。</w:t>
      </w:r>
    </w:p>
    <w:p>
      <w:pPr>
        <w:widowControl/>
        <w:spacing w:line="440" w:lineRule="exact"/>
        <w:ind w:firstLine="480" w:firstLineChars="200"/>
        <w:rPr>
          <w:color w:val="000000"/>
          <w:sz w:val="24"/>
        </w:rPr>
      </w:pPr>
      <w:bookmarkStart w:id="25" w:name="OLE_LINK1"/>
      <w:r>
        <w:rPr>
          <w:rFonts w:hint="eastAsia"/>
          <w:sz w:val="24"/>
        </w:rPr>
        <w:t>2.</w:t>
      </w:r>
      <w:r>
        <w:rPr>
          <w:sz w:val="24"/>
        </w:rPr>
        <w:t>比选申请人</w:t>
      </w:r>
      <w:r>
        <w:rPr>
          <w:rFonts w:hint="eastAsia"/>
          <w:sz w:val="24"/>
        </w:rPr>
        <w:t>应</w:t>
      </w:r>
      <w:r>
        <w:rPr>
          <w:color w:val="000000"/>
          <w:sz w:val="24"/>
        </w:rPr>
        <w:t>具备由国家气象主管部门授予的雷电防护装置检测乙级及以上资质，且在有效期内。</w:t>
      </w:r>
    </w:p>
    <w:p>
      <w:pPr>
        <w:widowControl/>
        <w:spacing w:line="440" w:lineRule="exact"/>
        <w:ind w:firstLine="480" w:firstLineChars="200"/>
        <w:rPr>
          <w:color w:val="000000"/>
          <w:sz w:val="24"/>
        </w:rPr>
      </w:pPr>
      <w:r>
        <w:rPr>
          <w:rFonts w:hint="eastAsia"/>
          <w:color w:val="000000"/>
          <w:sz w:val="24"/>
        </w:rPr>
        <w:t>3.关键人员要求：</w:t>
      </w:r>
    </w:p>
    <w:p>
      <w:pPr>
        <w:widowControl/>
        <w:tabs>
          <w:tab w:val="left" w:pos="312"/>
        </w:tabs>
        <w:spacing w:line="400" w:lineRule="exact"/>
        <w:ind w:firstLine="480" w:firstLineChars="200"/>
        <w:rPr>
          <w:sz w:val="24"/>
        </w:rPr>
      </w:pPr>
      <w:r>
        <w:rPr>
          <w:rFonts w:hint="eastAsia"/>
          <w:sz w:val="24"/>
        </w:rPr>
        <w:t>比选申请人须设置项目负责人1名，并满足如下条件：</w:t>
      </w:r>
    </w:p>
    <w:p>
      <w:pPr>
        <w:widowControl/>
        <w:tabs>
          <w:tab w:val="left" w:pos="312"/>
        </w:tabs>
        <w:spacing w:line="400" w:lineRule="exact"/>
        <w:ind w:firstLine="240" w:firstLineChars="100"/>
        <w:rPr>
          <w:sz w:val="24"/>
        </w:rPr>
      </w:pPr>
      <w:r>
        <w:rPr>
          <w:rFonts w:hint="eastAsia"/>
          <w:sz w:val="24"/>
        </w:rPr>
        <w:t>（1）具有中级及以上职称；</w:t>
      </w:r>
    </w:p>
    <w:p>
      <w:pPr>
        <w:widowControl/>
        <w:tabs>
          <w:tab w:val="left" w:pos="312"/>
        </w:tabs>
        <w:spacing w:line="400" w:lineRule="exact"/>
        <w:ind w:firstLine="240" w:firstLineChars="100"/>
        <w:rPr>
          <w:sz w:val="24"/>
        </w:rPr>
      </w:pPr>
      <w:r>
        <w:rPr>
          <w:rFonts w:hint="eastAsia"/>
          <w:sz w:val="24"/>
        </w:rPr>
        <w:t>（2）具备雷电防护装置检测专业技术人员职业能力评价合格证书；</w:t>
      </w:r>
    </w:p>
    <w:p>
      <w:pPr>
        <w:widowControl/>
        <w:tabs>
          <w:tab w:val="left" w:pos="312"/>
        </w:tabs>
        <w:spacing w:line="400" w:lineRule="exact"/>
        <w:ind w:firstLine="240" w:firstLineChars="100"/>
        <w:rPr>
          <w:sz w:val="24"/>
        </w:rPr>
      </w:pPr>
      <w:r>
        <w:rPr>
          <w:rFonts w:hint="eastAsia"/>
          <w:sz w:val="24"/>
        </w:rPr>
        <w:t>（3）提供比选申请截止日所在月的上个月或上上个月起至少连续6个月在该比选申请人单位的养老保险缴纳凭证或社保部门出具的在该比选申请人单位参保的证明。</w:t>
      </w:r>
    </w:p>
    <w:bookmarkEnd w:id="24"/>
    <w:bookmarkEnd w:id="25"/>
    <w:p>
      <w:pPr>
        <w:widowControl/>
        <w:spacing w:line="440" w:lineRule="exact"/>
        <w:rPr>
          <w:color w:val="000000"/>
          <w:sz w:val="24"/>
        </w:rPr>
      </w:pPr>
      <w:r>
        <w:rPr>
          <w:color w:val="000000"/>
          <w:sz w:val="24"/>
        </w:rPr>
        <w:t>（二）业绩要求</w:t>
      </w:r>
    </w:p>
    <w:p>
      <w:pPr>
        <w:widowControl/>
        <w:spacing w:line="440" w:lineRule="exact"/>
        <w:ind w:firstLine="480" w:firstLineChars="200"/>
        <w:rPr>
          <w:color w:val="FF0000"/>
        </w:rPr>
      </w:pPr>
      <w:r>
        <w:rPr>
          <w:sz w:val="24"/>
        </w:rPr>
        <w:t>比选申请人近3年内（2022年1月1日起，以合同签订时间为准）至少承担3</w:t>
      </w:r>
      <w:r>
        <w:rPr>
          <w:rFonts w:hint="eastAsia"/>
          <w:sz w:val="24"/>
        </w:rPr>
        <w:t>项</w:t>
      </w:r>
      <w:r>
        <w:rPr>
          <w:sz w:val="24"/>
        </w:rPr>
        <w:t>防雷设施设备检测业绩</w:t>
      </w:r>
      <w:r>
        <w:rPr>
          <w:rFonts w:hint="eastAsia"/>
          <w:sz w:val="24"/>
        </w:rPr>
        <w:t>（其中至少一项业绩合同范围包含高速公路沿线机电设施防雷检测项目）</w:t>
      </w:r>
      <w:r>
        <w:rPr>
          <w:sz w:val="24"/>
        </w:rPr>
        <w:t>。</w:t>
      </w:r>
      <w:r>
        <w:rPr>
          <w:rFonts w:hint="eastAsia"/>
          <w:sz w:val="24"/>
        </w:rPr>
        <w:t>须</w:t>
      </w:r>
      <w:r>
        <w:rPr>
          <w:sz w:val="24"/>
        </w:rPr>
        <w:t>提供有效的合同业绩作为证明材料。</w:t>
      </w:r>
    </w:p>
    <w:p>
      <w:pPr>
        <w:widowControl/>
        <w:spacing w:line="440" w:lineRule="exact"/>
        <w:ind w:firstLine="480" w:firstLineChars="200"/>
        <w:rPr>
          <w:color w:val="000000"/>
          <w:sz w:val="24"/>
        </w:rPr>
      </w:pPr>
      <w:r>
        <w:rPr>
          <w:color w:val="000000"/>
          <w:sz w:val="24"/>
        </w:rPr>
        <w:t>注：应提供证明资料影印件，合同证明资料能体现相关</w:t>
      </w:r>
      <w:r>
        <w:rPr>
          <w:b/>
          <w:bCs/>
          <w:color w:val="000000"/>
          <w:sz w:val="24"/>
        </w:rPr>
        <w:t>合同签订时间、合同范围、合同签署页</w:t>
      </w:r>
      <w:r>
        <w:rPr>
          <w:color w:val="000000"/>
          <w:sz w:val="24"/>
        </w:rPr>
        <w:t>等内容。若未出具证明材料或证明材料不全或所要求的信息描述不清晰的，该业绩不予认定。全文同。</w:t>
      </w:r>
    </w:p>
    <w:p>
      <w:pPr>
        <w:widowControl/>
        <w:spacing w:line="440" w:lineRule="exact"/>
        <w:rPr>
          <w:color w:val="000000"/>
          <w:sz w:val="24"/>
        </w:rPr>
      </w:pPr>
      <w:r>
        <w:rPr>
          <w:color w:val="000000"/>
          <w:sz w:val="24"/>
        </w:rPr>
        <w:t>（三）本项目不接受联合体比选申请，严禁转包和违法分包。</w:t>
      </w:r>
    </w:p>
    <w:p>
      <w:pPr>
        <w:widowControl/>
        <w:spacing w:line="440" w:lineRule="exact"/>
        <w:rPr>
          <w:color w:val="000000"/>
          <w:sz w:val="24"/>
        </w:rPr>
      </w:pPr>
      <w:r>
        <w:rPr>
          <w:color w:val="000000"/>
          <w:sz w:val="24"/>
        </w:rPr>
        <w:t>（四）与比选人存在利害关系可能影响比选公正性的单位，不得参加比选。比选申请人单位负责人为同一人或者存在控股、管理关系的不同单位，不得同时参加本项目比选。否则相关比选申请均无效。</w:t>
      </w:r>
    </w:p>
    <w:p>
      <w:pPr>
        <w:widowControl/>
        <w:spacing w:line="440" w:lineRule="exact"/>
        <w:rPr>
          <w:color w:val="000000"/>
          <w:sz w:val="24"/>
        </w:rPr>
      </w:pPr>
      <w:r>
        <w:rPr>
          <w:color w:val="000000"/>
          <w:sz w:val="24"/>
        </w:rPr>
        <w:t>（五）信誉要求</w:t>
      </w:r>
    </w:p>
    <w:p>
      <w:pPr>
        <w:widowControl/>
        <w:spacing w:line="440" w:lineRule="exact"/>
        <w:ind w:firstLine="420"/>
        <w:rPr>
          <w:color w:val="000000"/>
          <w:sz w:val="24"/>
        </w:rPr>
      </w:pPr>
      <w:r>
        <w:rPr>
          <w:color w:val="000000"/>
          <w:sz w:val="24"/>
        </w:rPr>
        <w:t>1.比选申请人对通过</w:t>
      </w:r>
      <w:r>
        <w:rPr>
          <w:rFonts w:hint="eastAsia"/>
          <w:color w:val="000000"/>
          <w:sz w:val="24"/>
        </w:rPr>
        <w:t>“</w:t>
      </w:r>
      <w:r>
        <w:rPr>
          <w:color w:val="000000"/>
          <w:sz w:val="24"/>
        </w:rPr>
        <w:t>信用中国</w:t>
      </w:r>
      <w:r>
        <w:rPr>
          <w:rFonts w:hint="eastAsia"/>
          <w:color w:val="000000"/>
          <w:sz w:val="24"/>
        </w:rPr>
        <w:t>”</w:t>
      </w:r>
      <w:r>
        <w:rPr>
          <w:color w:val="000000"/>
          <w:sz w:val="24"/>
        </w:rPr>
        <w:t>网站（</w:t>
      </w:r>
      <w:bookmarkStart w:id="26" w:name="OLE_LINK4"/>
      <w:r>
        <w:rPr>
          <w:color w:val="000000"/>
          <w:sz w:val="24"/>
        </w:rPr>
        <w:t>http：//www.creditchina.gov.cn/</w:t>
      </w:r>
      <w:bookmarkEnd w:id="26"/>
      <w:r>
        <w:rPr>
          <w:color w:val="000000"/>
          <w:sz w:val="24"/>
        </w:rPr>
        <w:t>）查询</w:t>
      </w:r>
      <w:r>
        <w:rPr>
          <w:rFonts w:hint="eastAsia"/>
          <w:color w:val="000000"/>
          <w:sz w:val="24"/>
        </w:rPr>
        <w:t>“</w:t>
      </w:r>
      <w:r>
        <w:rPr>
          <w:color w:val="000000"/>
          <w:sz w:val="24"/>
        </w:rPr>
        <w:t>失信被执行人</w:t>
      </w:r>
      <w:r>
        <w:rPr>
          <w:rFonts w:hint="eastAsia"/>
          <w:color w:val="000000"/>
          <w:sz w:val="24"/>
        </w:rPr>
        <w:t>”</w:t>
      </w:r>
      <w:r>
        <w:rPr>
          <w:color w:val="000000"/>
          <w:sz w:val="24"/>
        </w:rPr>
        <w:t>链接</w:t>
      </w:r>
      <w:r>
        <w:rPr>
          <w:rFonts w:hint="eastAsia"/>
          <w:color w:val="000000"/>
          <w:sz w:val="24"/>
        </w:rPr>
        <w:t>“</w:t>
      </w:r>
      <w:r>
        <w:rPr>
          <w:color w:val="000000"/>
          <w:sz w:val="24"/>
        </w:rPr>
        <w:t>中国执行信息公开网(http://zxgk.court.gov.cn/shixin/)</w:t>
      </w:r>
      <w:r>
        <w:rPr>
          <w:rFonts w:hint="eastAsia"/>
          <w:color w:val="000000"/>
          <w:sz w:val="24"/>
        </w:rPr>
        <w:t>”</w:t>
      </w:r>
      <w:r>
        <w:rPr>
          <w:color w:val="000000"/>
          <w:sz w:val="24"/>
        </w:rPr>
        <w:t>中列为失信被执行人的比选申请人，不得参加本次比选。（比选申请人须提供查询结果截图）</w:t>
      </w:r>
      <w:r>
        <w:rPr>
          <w:sz w:val="24"/>
        </w:rPr>
        <w:t>。</w:t>
      </w:r>
    </w:p>
    <w:p>
      <w:pPr>
        <w:widowControl/>
        <w:spacing w:line="440" w:lineRule="exact"/>
        <w:ind w:firstLine="420"/>
        <w:rPr>
          <w:color w:val="000000"/>
          <w:sz w:val="24"/>
        </w:rPr>
      </w:pPr>
      <w:r>
        <w:rPr>
          <w:color w:val="000000"/>
          <w:sz w:val="24"/>
        </w:rPr>
        <w:t>2.比选申请人在国家企业信用信息公示系统（www.gsxt.gov.cn）中查询未被列入严重违法失信企业名单（比选申请人须提供查询结果截图）。</w:t>
      </w:r>
    </w:p>
    <w:p>
      <w:pPr>
        <w:widowControl/>
        <w:spacing w:line="440" w:lineRule="exact"/>
        <w:ind w:firstLine="420"/>
        <w:rPr>
          <w:color w:val="000000"/>
          <w:sz w:val="24"/>
        </w:rPr>
      </w:pPr>
      <w:r>
        <w:rPr>
          <w:color w:val="000000"/>
          <w:sz w:val="24"/>
        </w:rPr>
        <w:t>3.在202</w:t>
      </w:r>
      <w:r>
        <w:rPr>
          <w:rFonts w:hint="eastAsia"/>
          <w:color w:val="000000"/>
          <w:sz w:val="24"/>
        </w:rPr>
        <w:t>2</w:t>
      </w:r>
      <w:r>
        <w:rPr>
          <w:color w:val="000000"/>
          <w:sz w:val="24"/>
        </w:rPr>
        <w:t>年1月1日至本项目比选</w:t>
      </w:r>
      <w:r>
        <w:rPr>
          <w:rFonts w:hint="eastAsia"/>
          <w:color w:val="000000"/>
          <w:sz w:val="24"/>
        </w:rPr>
        <w:t>申请</w:t>
      </w:r>
      <w:r>
        <w:rPr>
          <w:color w:val="000000"/>
          <w:sz w:val="24"/>
        </w:rPr>
        <w:t>截止日期间，比选申请人（单位）、法定代表人没有被人民法院生效判决或裁定认定为行贿犯罪（比选申请人须提交无行贿犯罪的承诺函）。</w:t>
      </w:r>
    </w:p>
    <w:p>
      <w:pPr>
        <w:pStyle w:val="14"/>
        <w:spacing w:line="440" w:lineRule="exact"/>
        <w:outlineLvl w:val="1"/>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四、评审办法</w:t>
      </w:r>
    </w:p>
    <w:p>
      <w:pPr>
        <w:pStyle w:val="2"/>
        <w:snapToGrid w:val="0"/>
        <w:spacing w:line="440" w:lineRule="exact"/>
        <w:ind w:firstLine="480"/>
        <w:rPr>
          <w:rFonts w:ascii="Times New Roman" w:hAnsi="Times New Roman"/>
          <w:bCs/>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本次比选采用单信封形式，资格后审。评标采用经评审的最低投标价法。</w:t>
      </w:r>
    </w:p>
    <w:p>
      <w:pPr>
        <w:pStyle w:val="14"/>
        <w:spacing w:line="440" w:lineRule="exact"/>
        <w:outlineLvl w:val="1"/>
        <w:rPr>
          <w:rFonts w:ascii="Times New Roman" w:hAnsi="Times New Roman" w:eastAsia="黑体"/>
          <w:b/>
          <w:color w:val="000000" w:themeColor="text1"/>
          <w:sz w:val="24"/>
          <w:szCs w:val="24"/>
          <w14:textFill>
            <w14:solidFill>
              <w14:schemeClr w14:val="tx1"/>
            </w14:solidFill>
          </w14:textFill>
        </w:rPr>
      </w:pPr>
      <w:r>
        <w:rPr>
          <w:rFonts w:ascii="Times New Roman" w:hAnsi="Times New Roman" w:eastAsia="黑体"/>
          <w:b/>
          <w:color w:val="000000" w:themeColor="text1"/>
          <w:sz w:val="24"/>
          <w:szCs w:val="24"/>
          <w14:textFill>
            <w14:solidFill>
              <w14:schemeClr w14:val="tx1"/>
            </w14:solidFill>
          </w14:textFill>
        </w:rPr>
        <w:t>五、比选文件的获取与递交</w:t>
      </w:r>
    </w:p>
    <w:p>
      <w:pPr>
        <w:spacing w:line="440" w:lineRule="exact"/>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（一）比选文件的获取</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符合公告要求，有意愿参与的单位请在四川成渝高速公路股份有限公司公路运营管理一分公司网站 （http://www.sccygs.com）上自行免费匿名下载比选文件、补遗书（如有）。下载过程如有疑问请及时与比选人联系，否则，造成的一切后果由比选申请人自负，如逾期未联系的，比选人视为收到或默认已收到。</w:t>
      </w:r>
    </w:p>
    <w:p>
      <w:pPr>
        <w:spacing w:line="440" w:lineRule="exact"/>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（二）比选申请文件的递交及相关事宜</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比选申请文件递交时间：2025年</w:t>
      </w:r>
      <w:r>
        <w:rPr>
          <w:rFonts w:hint="eastAsia"/>
          <w:bCs/>
          <w:color w:val="000000" w:themeColor="text1"/>
          <w:kern w:val="0"/>
          <w:sz w:val="24"/>
          <w14:textFill>
            <w14:solidFill>
              <w14:schemeClr w14:val="tx1"/>
            </w14:solidFill>
          </w14:textFill>
        </w:rPr>
        <w:t>7</w:t>
      </w:r>
      <w:r>
        <w:rPr>
          <w:bCs/>
          <w:color w:val="000000" w:themeColor="text1"/>
          <w:kern w:val="0"/>
          <w:sz w:val="24"/>
          <w14:textFill>
            <w14:solidFill>
              <w14:schemeClr w14:val="tx1"/>
            </w14:solidFill>
          </w14:textFill>
        </w:rPr>
        <w:t>月</w:t>
      </w:r>
      <w:r>
        <w:rPr>
          <w:rFonts w:hint="eastAsia"/>
          <w:bCs/>
          <w:color w:val="000000" w:themeColor="text1"/>
          <w:kern w:val="0"/>
          <w:sz w:val="24"/>
          <w14:textFill>
            <w14:solidFill>
              <w14:schemeClr w14:val="tx1"/>
            </w14:solidFill>
          </w14:textFill>
        </w:rPr>
        <w:t>9</w:t>
      </w:r>
      <w:r>
        <w:rPr>
          <w:bCs/>
          <w:color w:val="000000" w:themeColor="text1"/>
          <w:kern w:val="0"/>
          <w:sz w:val="24"/>
          <w14:textFill>
            <w14:solidFill>
              <w14:schemeClr w14:val="tx1"/>
            </w14:solidFill>
          </w14:textFill>
        </w:rPr>
        <w:t>日上午09:00-9:30时（北京时间）,截止时间为2025年</w:t>
      </w:r>
      <w:r>
        <w:rPr>
          <w:rFonts w:hint="eastAsia"/>
          <w:bCs/>
          <w:color w:val="000000" w:themeColor="text1"/>
          <w:kern w:val="0"/>
          <w:sz w:val="24"/>
          <w14:textFill>
            <w14:solidFill>
              <w14:schemeClr w14:val="tx1"/>
            </w14:solidFill>
          </w14:textFill>
        </w:rPr>
        <w:t>7</w:t>
      </w:r>
      <w:r>
        <w:rPr>
          <w:bCs/>
          <w:color w:val="000000" w:themeColor="text1"/>
          <w:kern w:val="0"/>
          <w:sz w:val="24"/>
          <w14:textFill>
            <w14:solidFill>
              <w14:schemeClr w14:val="tx1"/>
            </w14:solidFill>
          </w14:textFill>
        </w:rPr>
        <w:t>月</w:t>
      </w:r>
      <w:r>
        <w:rPr>
          <w:rFonts w:hint="eastAsia"/>
          <w:bCs/>
          <w:color w:val="000000" w:themeColor="text1"/>
          <w:kern w:val="0"/>
          <w:sz w:val="24"/>
          <w14:textFill>
            <w14:solidFill>
              <w14:schemeClr w14:val="tx1"/>
            </w14:solidFill>
          </w14:textFill>
        </w:rPr>
        <w:t>9</w:t>
      </w:r>
      <w:r>
        <w:rPr>
          <w:bCs/>
          <w:color w:val="000000" w:themeColor="text1"/>
          <w:kern w:val="0"/>
          <w:sz w:val="24"/>
          <w14:textFill>
            <w14:solidFill>
              <w14:schemeClr w14:val="tx1"/>
            </w14:solidFill>
          </w14:textFill>
        </w:rPr>
        <w:t>日上午9:30时（北京时间)。</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1.比选申请文件递交地点：四川省成都市成华区迎晖路8号四川成渝高速公路股份有限公司公路运营管理一分公司302会议室。</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2.比选人定于比选申请文件送交截止时间的同一时间、同一地址举行开标，比选申请人应派代表出席并签认比选开标结果。</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3.逾期送达、未送达指定地点的或者不按比选文件要求密封的比选申请文件，比选人不予受理。</w:t>
      </w:r>
    </w:p>
    <w:p>
      <w:pPr>
        <w:pStyle w:val="14"/>
        <w:spacing w:line="440" w:lineRule="exact"/>
        <w:outlineLvl w:val="1"/>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六、现场踏勘及比选申请预备会</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现场踏勘：本项目不组织现场踏勘。</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比选申请预备会议：比选人不召开比选申请预备会。</w:t>
      </w:r>
    </w:p>
    <w:p>
      <w:pPr>
        <w:pStyle w:val="14"/>
        <w:spacing w:line="440" w:lineRule="exact"/>
        <w:outlineLvl w:val="1"/>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七、比选工作将公开接受社会监督</w:t>
      </w:r>
    </w:p>
    <w:p>
      <w:pPr>
        <w:spacing w:line="440" w:lineRule="exact"/>
        <w:ind w:right="-94" w:rightChars="-45" w:firstLine="472" w:firstLineChars="196"/>
        <w:jc w:val="left"/>
        <w:rPr>
          <w:bCs/>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比选结果公示：</w:t>
      </w:r>
      <w:r>
        <w:rPr>
          <w:bCs/>
          <w:color w:val="000000" w:themeColor="text1"/>
          <w:kern w:val="0"/>
          <w:sz w:val="24"/>
          <w14:textFill>
            <w14:solidFill>
              <w14:schemeClr w14:val="tx1"/>
            </w14:solidFill>
          </w14:textFill>
        </w:rPr>
        <w:t>比选人在比选评审后3日内，将评审结果即评审委员会推荐的中选候选名单在四川成渝高速公路股份有限公司公路运营管理一分公司网站（http://www.sccygs.com）上公示3个工作日以接受社会公开监督。比选申请人或者其他利害关系人对评审结果有异议的，应当在中选候选人公示期间提出。</w:t>
      </w:r>
    </w:p>
    <w:p>
      <w:pPr>
        <w:spacing w:line="440" w:lineRule="exact"/>
        <w:ind w:right="-94" w:rightChars="-45" w:firstLine="472" w:firstLineChars="196"/>
        <w:jc w:val="left"/>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联系方式</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比 选 人：四川成渝高速公路股份有限公司公路运营管理一分公司</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地    址：四川省成都市成华区迎晖路8号</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电    话：028-84714386</w:t>
      </w:r>
    </w:p>
    <w:p>
      <w:pPr>
        <w:spacing w:line="44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联 系 人：孙先生</w:t>
      </w:r>
    </w:p>
    <w:p>
      <w:pPr>
        <w:spacing w:line="440" w:lineRule="exact"/>
        <w:rPr>
          <w:rFonts w:eastAsia="仿宋_GB2312"/>
          <w:bCs/>
          <w:color w:val="000000" w:themeColor="text1"/>
          <w:kern w:val="0"/>
          <w:sz w:val="24"/>
          <w14:textFill>
            <w14:solidFill>
              <w14:schemeClr w14:val="tx1"/>
            </w14:solidFill>
          </w14:textFill>
        </w:rPr>
      </w:pPr>
    </w:p>
    <w:p>
      <w:pPr>
        <w:spacing w:line="440" w:lineRule="exact"/>
        <w:ind w:firstLine="480" w:firstLineChars="200"/>
        <w:rPr>
          <w:bCs/>
          <w:color w:val="000000" w:themeColor="text1"/>
          <w:kern w:val="0"/>
          <w:sz w:val="24"/>
          <w14:textFill>
            <w14:solidFill>
              <w14:schemeClr w14:val="tx1"/>
            </w14:solidFill>
          </w14:textFill>
        </w:rPr>
      </w:pPr>
    </w:p>
    <w:p>
      <w:pPr>
        <w:spacing w:line="440" w:lineRule="exact"/>
        <w:ind w:firstLine="480" w:firstLineChars="200"/>
        <w:jc w:val="right"/>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 xml:space="preserve">            比选人：四川成渝高速公路股份有限公司</w:t>
      </w:r>
    </w:p>
    <w:p>
      <w:pPr>
        <w:spacing w:line="440" w:lineRule="exact"/>
        <w:ind w:firstLine="480" w:firstLineChars="200"/>
        <w:jc w:val="center"/>
        <w:rPr>
          <w:bCs/>
          <w:color w:val="000000" w:themeColor="text1"/>
          <w:kern w:val="0"/>
          <w:sz w:val="24"/>
          <w14:textFill>
            <w14:solidFill>
              <w14:schemeClr w14:val="tx1"/>
            </w14:solidFill>
          </w14:textFill>
        </w:rPr>
      </w:pPr>
      <w:r>
        <w:rPr>
          <w:rFonts w:hint="eastAsia"/>
          <w:bCs/>
          <w:color w:val="000000" w:themeColor="text1"/>
          <w:kern w:val="0"/>
          <w:sz w:val="24"/>
          <w:lang w:val="en-US" w:eastAsia="zh-CN"/>
          <w14:textFill>
            <w14:solidFill>
              <w14:schemeClr w14:val="tx1"/>
            </w14:solidFill>
          </w14:textFill>
        </w:rPr>
        <w:t xml:space="preserve">                                </w:t>
      </w:r>
      <w:r>
        <w:rPr>
          <w:bCs/>
          <w:color w:val="000000" w:themeColor="text1"/>
          <w:kern w:val="0"/>
          <w:sz w:val="24"/>
          <w14:textFill>
            <w14:solidFill>
              <w14:schemeClr w14:val="tx1"/>
            </w14:solidFill>
          </w14:textFill>
        </w:rPr>
        <w:t>公路运营管理一分公司</w:t>
      </w:r>
    </w:p>
    <w:p>
      <w:pPr>
        <w:spacing w:line="440" w:lineRule="exact"/>
        <w:ind w:firstLine="5520" w:firstLineChars="2300"/>
        <w:rPr>
          <w:rFonts w:eastAsia="黑体"/>
          <w:color w:val="000000" w:themeColor="text1"/>
          <w:sz w:val="36"/>
          <w:szCs w:val="36"/>
          <w14:textFill>
            <w14:solidFill>
              <w14:schemeClr w14:val="tx1"/>
            </w14:solidFill>
          </w14:textFill>
        </w:rPr>
      </w:pPr>
      <w:r>
        <w:rPr>
          <w:bCs/>
          <w:color w:val="000000" w:themeColor="text1"/>
          <w:kern w:val="0"/>
          <w:sz w:val="24"/>
          <w14:textFill>
            <w14:solidFill>
              <w14:schemeClr w14:val="tx1"/>
            </w14:solidFill>
          </w14:textFill>
        </w:rPr>
        <w:t>2025年</w:t>
      </w:r>
      <w:r>
        <w:rPr>
          <w:rFonts w:hint="eastAsia"/>
          <w:bCs/>
          <w:color w:val="000000" w:themeColor="text1"/>
          <w:kern w:val="0"/>
          <w:sz w:val="24"/>
          <w14:textFill>
            <w14:solidFill>
              <w14:schemeClr w14:val="tx1"/>
            </w14:solidFill>
          </w14:textFill>
        </w:rPr>
        <w:t>7</w:t>
      </w:r>
      <w:r>
        <w:rPr>
          <w:bCs/>
          <w:color w:val="000000" w:themeColor="text1"/>
          <w:kern w:val="0"/>
          <w:sz w:val="24"/>
          <w14:textFill>
            <w14:solidFill>
              <w14:schemeClr w14:val="tx1"/>
            </w14:solidFill>
          </w14:textFill>
        </w:rPr>
        <w:t>月</w:t>
      </w:r>
      <w:r>
        <w:rPr>
          <w:rFonts w:hint="eastAsia"/>
          <w:bCs/>
          <w:color w:val="000000" w:themeColor="text1"/>
          <w:kern w:val="0"/>
          <w:sz w:val="24"/>
          <w:lang w:val="en-US" w:eastAsia="zh-CN"/>
          <w14:textFill>
            <w14:solidFill>
              <w14:schemeClr w14:val="tx1"/>
            </w14:solidFill>
          </w14:textFill>
        </w:rPr>
        <w:t>3</w:t>
      </w:r>
      <w:r>
        <w:rPr>
          <w:bCs/>
          <w:color w:val="000000" w:themeColor="text1"/>
          <w:kern w:val="0"/>
          <w:sz w:val="24"/>
          <w14:textFill>
            <w14:solidFill>
              <w14:schemeClr w14:val="tx1"/>
            </w14:solidFill>
          </w14:textFill>
        </w:rPr>
        <w:t>日</w:t>
      </w:r>
      <w:bookmarkEnd w:id="18"/>
    </w:p>
    <w:p>
      <w:pPr>
        <w:rPr>
          <w:rFonts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br w:type="page"/>
      </w:r>
    </w:p>
    <w:bookmarkEnd w:id="0"/>
    <w:bookmarkEnd w:id="1"/>
    <w:bookmarkEnd w:id="2"/>
    <w:bookmarkEnd w:id="3"/>
    <w:bookmarkEnd w:id="4"/>
    <w:bookmarkEnd w:id="5"/>
    <w:bookmarkEnd w:id="6"/>
    <w:bookmarkEnd w:id="7"/>
    <w:bookmarkEnd w:id="8"/>
    <w:bookmarkEnd w:id="9"/>
    <w:bookmarkEnd w:id="10"/>
    <w:bookmarkEnd w:id="11"/>
    <w:bookmarkEnd w:id="12"/>
    <w:p>
      <w:pPr>
        <w:pStyle w:val="5"/>
        <w:jc w:val="center"/>
        <w:rPr>
          <w:rFonts w:eastAsia="黑体"/>
          <w:sz w:val="36"/>
          <w:szCs w:val="36"/>
        </w:rPr>
      </w:pPr>
      <w:bookmarkStart w:id="27" w:name="_Toc17071"/>
      <w:bookmarkStart w:id="28" w:name="_Toc202215191"/>
      <w:bookmarkStart w:id="29" w:name="_Toc152045528"/>
      <w:bookmarkStart w:id="30" w:name="_Toc179632545"/>
      <w:bookmarkStart w:id="31" w:name="_Toc152042304"/>
      <w:bookmarkStart w:id="32" w:name="_Toc144974496"/>
      <w:r>
        <w:rPr>
          <w:rFonts w:eastAsia="黑体"/>
          <w:sz w:val="36"/>
          <w:szCs w:val="36"/>
        </w:rPr>
        <w:t>第二章  比选申请人须知</w:t>
      </w:r>
      <w:bookmarkEnd w:id="27"/>
      <w:bookmarkEnd w:id="28"/>
    </w:p>
    <w:p>
      <w:pPr>
        <w:autoSpaceDE w:val="0"/>
        <w:autoSpaceDN w:val="0"/>
        <w:adjustRightInd w:val="0"/>
        <w:spacing w:beforeLines="50" w:line="360" w:lineRule="auto"/>
        <w:jc w:val="center"/>
        <w:rPr>
          <w:b/>
          <w:color w:val="000000"/>
          <w:sz w:val="32"/>
          <w:szCs w:val="32"/>
        </w:rPr>
      </w:pPr>
      <w:r>
        <w:rPr>
          <w:b/>
          <w:color w:val="000000"/>
          <w:sz w:val="32"/>
          <w:szCs w:val="32"/>
        </w:rPr>
        <w:t>比选申请人须知前附表</w:t>
      </w:r>
    </w:p>
    <w:tbl>
      <w:tblPr>
        <w:tblStyle w:val="24"/>
        <w:tblW w:w="93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03"/>
        <w:gridCol w:w="65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b/>
                <w:sz w:val="24"/>
                <w:szCs w:val="24"/>
              </w:rPr>
            </w:pPr>
            <w:r>
              <w:rPr>
                <w:rFonts w:ascii="Times New Roman" w:hAnsi="Times New Roman"/>
                <w:b/>
                <w:sz w:val="24"/>
                <w:szCs w:val="24"/>
              </w:rPr>
              <w:t>条款号</w:t>
            </w:r>
          </w:p>
        </w:tc>
        <w:tc>
          <w:tcPr>
            <w:tcW w:w="1803" w:type="dxa"/>
            <w:tcBorders>
              <w:tl2br w:val="nil"/>
              <w:tr2bl w:val="nil"/>
            </w:tcBorders>
            <w:noWrap/>
            <w:vAlign w:val="center"/>
          </w:tcPr>
          <w:p>
            <w:pPr>
              <w:pStyle w:val="14"/>
              <w:adjustRightInd w:val="0"/>
              <w:snapToGrid w:val="0"/>
              <w:spacing w:line="340" w:lineRule="exact"/>
              <w:jc w:val="center"/>
              <w:rPr>
                <w:rFonts w:ascii="Times New Roman" w:hAnsi="Times New Roman"/>
                <w:b/>
                <w:sz w:val="24"/>
                <w:szCs w:val="24"/>
              </w:rPr>
            </w:pPr>
            <w:r>
              <w:rPr>
                <w:rFonts w:ascii="Times New Roman" w:hAnsi="Times New Roman"/>
                <w:b/>
                <w:sz w:val="24"/>
                <w:szCs w:val="24"/>
              </w:rPr>
              <w:t>条款名称</w:t>
            </w:r>
          </w:p>
        </w:tc>
        <w:tc>
          <w:tcPr>
            <w:tcW w:w="6562" w:type="dxa"/>
            <w:tcBorders>
              <w:tl2br w:val="nil"/>
              <w:tr2bl w:val="nil"/>
            </w:tcBorders>
            <w:noWrap/>
            <w:vAlign w:val="center"/>
          </w:tcPr>
          <w:p>
            <w:pPr>
              <w:pStyle w:val="14"/>
              <w:adjustRightInd w:val="0"/>
              <w:snapToGrid w:val="0"/>
              <w:spacing w:line="340" w:lineRule="exact"/>
              <w:jc w:val="center"/>
              <w:rPr>
                <w:rFonts w:ascii="Times New Roman" w:hAnsi="Times New Roman"/>
                <w:b/>
                <w:sz w:val="24"/>
                <w:szCs w:val="24"/>
              </w:rPr>
            </w:pPr>
            <w:r>
              <w:rPr>
                <w:rFonts w:ascii="Times New Roman" w:hAnsi="Times New Roman"/>
                <w:b/>
                <w:sz w:val="24"/>
                <w:szCs w:val="24"/>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1</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比选人</w:t>
            </w:r>
          </w:p>
        </w:tc>
        <w:tc>
          <w:tcPr>
            <w:tcW w:w="6562" w:type="dxa"/>
            <w:tcBorders>
              <w:tl2br w:val="nil"/>
              <w:tr2bl w:val="nil"/>
            </w:tcBorders>
            <w:noWrap/>
            <w:vAlign w:val="center"/>
          </w:tcPr>
          <w:p>
            <w:pPr>
              <w:adjustRightInd w:val="0"/>
              <w:snapToGrid w:val="0"/>
              <w:jc w:val="left"/>
              <w:rPr>
                <w:sz w:val="24"/>
              </w:rPr>
            </w:pPr>
            <w:r>
              <w:rPr>
                <w:sz w:val="24"/>
              </w:rPr>
              <w:t>比选人：四川成渝高速公路股份有限公司公路运营管理一分公司</w:t>
            </w:r>
          </w:p>
          <w:p>
            <w:pPr>
              <w:adjustRightInd w:val="0"/>
              <w:snapToGrid w:val="0"/>
              <w:jc w:val="left"/>
              <w:rPr>
                <w:sz w:val="24"/>
              </w:rPr>
            </w:pPr>
            <w:r>
              <w:rPr>
                <w:sz w:val="24"/>
              </w:rPr>
              <w:t>地    址：</w:t>
            </w:r>
            <w:r>
              <w:rPr>
                <w:color w:val="000000"/>
                <w:sz w:val="24"/>
              </w:rPr>
              <w:t>四川省</w:t>
            </w:r>
            <w:r>
              <w:rPr>
                <w:sz w:val="24"/>
              </w:rPr>
              <w:t>成都市成华区迎晖路8号</w:t>
            </w:r>
          </w:p>
          <w:p>
            <w:pPr>
              <w:adjustRightInd w:val="0"/>
              <w:snapToGrid w:val="0"/>
              <w:jc w:val="left"/>
              <w:rPr>
                <w:sz w:val="24"/>
              </w:rPr>
            </w:pPr>
            <w:r>
              <w:rPr>
                <w:sz w:val="24"/>
              </w:rPr>
              <w:t>电    话：028-84714386</w:t>
            </w:r>
          </w:p>
          <w:p>
            <w:pPr>
              <w:adjustRightInd w:val="0"/>
              <w:snapToGrid w:val="0"/>
              <w:jc w:val="left"/>
              <w:rPr>
                <w:sz w:val="24"/>
              </w:rPr>
            </w:pPr>
            <w:r>
              <w:rPr>
                <w:sz w:val="24"/>
              </w:rPr>
              <w:t>联 系 人：孙先生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2</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项目名称</w:t>
            </w:r>
          </w:p>
        </w:tc>
        <w:tc>
          <w:tcPr>
            <w:tcW w:w="6562" w:type="dxa"/>
            <w:tcBorders>
              <w:tl2br w:val="nil"/>
              <w:tr2bl w:val="nil"/>
            </w:tcBorders>
            <w:noWrap/>
            <w:vAlign w:val="center"/>
          </w:tcPr>
          <w:p>
            <w:pPr>
              <w:pStyle w:val="14"/>
              <w:adjustRightInd w:val="0"/>
              <w:snapToGrid w:val="0"/>
              <w:rPr>
                <w:rFonts w:ascii="Times New Roman" w:hAnsi="Times New Roman"/>
                <w:spacing w:val="-4"/>
                <w:sz w:val="24"/>
                <w:szCs w:val="24"/>
                <w:highlight w:val="yellow"/>
              </w:rPr>
            </w:pPr>
            <w:r>
              <w:rPr>
                <w:rFonts w:ascii="Times New Roman" w:hAnsi="Times New Roman"/>
                <w:color w:val="000000"/>
                <w:sz w:val="24"/>
                <w:szCs w:val="24"/>
              </w:rPr>
              <w:t>四川成渝高速公路股份有限公司公路运营管理一分公司防雷检测服务项目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3</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项目地点</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成渝高速公路、遂广</w:t>
            </w:r>
            <w:r>
              <w:rPr>
                <w:rFonts w:hint="eastAsia" w:ascii="Times New Roman" w:hAnsi="Times New Roman"/>
                <w:sz w:val="24"/>
                <w:szCs w:val="24"/>
              </w:rPr>
              <w:t>、</w:t>
            </w:r>
            <w:r>
              <w:rPr>
                <w:rFonts w:ascii="Times New Roman" w:hAnsi="Times New Roman"/>
                <w:sz w:val="24"/>
                <w:szCs w:val="24"/>
              </w:rPr>
              <w:t>遂西高速公路沿线</w:t>
            </w:r>
            <w:r>
              <w:rPr>
                <w:rFonts w:hint="eastAsia" w:ascii="Times New Roman" w:hAnsi="Times New Roman"/>
                <w:sz w:val="24"/>
                <w:szCs w:val="24"/>
              </w:rPr>
              <w:t>收费站、服务区、门架、隧道及相应的办公区等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4</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比选范围</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本次比选范围及内容见比选公告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5</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资金来源</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5</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计划工期</w:t>
            </w:r>
          </w:p>
        </w:tc>
        <w:tc>
          <w:tcPr>
            <w:tcW w:w="6562" w:type="dxa"/>
            <w:tcBorders>
              <w:tl2br w:val="nil"/>
              <w:tr2bl w:val="nil"/>
            </w:tcBorders>
            <w:noWrap/>
            <w:vAlign w:val="center"/>
          </w:tcPr>
          <w:p>
            <w:pPr>
              <w:widowControl/>
              <w:autoSpaceDE w:val="0"/>
              <w:autoSpaceDN w:val="0"/>
              <w:adjustRightInd w:val="0"/>
              <w:snapToGrid w:val="0"/>
              <w:textAlignment w:val="bottom"/>
              <w:rPr>
                <w:sz w:val="24"/>
                <w:highlight w:val="yellow"/>
              </w:rPr>
            </w:pPr>
            <w:r>
              <w:rPr>
                <w:kern w:val="0"/>
                <w:sz w:val="24"/>
              </w:rPr>
              <w:t>30日历天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6</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质量</w:t>
            </w:r>
            <w:r>
              <w:rPr>
                <w:rFonts w:hint="eastAsia" w:ascii="Times New Roman" w:hAnsi="Times New Roman"/>
                <w:sz w:val="24"/>
                <w:szCs w:val="24"/>
              </w:rPr>
              <w:t>安全</w:t>
            </w:r>
            <w:r>
              <w:rPr>
                <w:rFonts w:ascii="Times New Roman" w:hAnsi="Times New Roman"/>
                <w:sz w:val="24"/>
                <w:szCs w:val="24"/>
              </w:rPr>
              <w:t>要求</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质量合格，提供符合气象部门、安监部门要求的《检测报告》。</w:t>
            </w:r>
            <w:r>
              <w:rPr>
                <w:rFonts w:hint="eastAsia" w:ascii="Times New Roman" w:hAnsi="Times New Roman"/>
                <w:bCs/>
                <w:sz w:val="24"/>
                <w:szCs w:val="24"/>
              </w:rPr>
              <w:t>安全符合国家法律法规、行业主管部门及比选人要求。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7</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比选申请人资格条件、业绩、能力信誉等要求</w:t>
            </w:r>
          </w:p>
        </w:tc>
        <w:tc>
          <w:tcPr>
            <w:tcW w:w="6562" w:type="dxa"/>
            <w:tcBorders>
              <w:tl2br w:val="nil"/>
              <w:tr2bl w:val="nil"/>
            </w:tcBorders>
            <w:noWrap/>
            <w:vAlign w:val="center"/>
          </w:tcPr>
          <w:p>
            <w:pPr>
              <w:autoSpaceDE w:val="0"/>
              <w:autoSpaceDN w:val="0"/>
              <w:adjustRightInd w:val="0"/>
              <w:snapToGrid w:val="0"/>
              <w:rPr>
                <w:sz w:val="24"/>
              </w:rPr>
            </w:pPr>
            <w:r>
              <w:rPr>
                <w:sz w:val="24"/>
              </w:rPr>
              <w:t>见比选公告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8</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比选文件的组成</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比选文件补遗书（如果有）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0" w:type="dxa"/>
            <w:vMerge w:val="restart"/>
            <w:tcBorders>
              <w:tl2br w:val="nil"/>
              <w:tr2bl w:val="nil"/>
            </w:tcBorders>
            <w:noWrap/>
            <w:vAlign w:val="center"/>
          </w:tcPr>
          <w:p>
            <w:pPr>
              <w:pStyle w:val="22"/>
              <w:adjustRightInd w:val="0"/>
              <w:snapToGrid w:val="0"/>
              <w:spacing w:line="340" w:lineRule="exact"/>
              <w:rPr>
                <w:sz w:val="24"/>
              </w:rPr>
            </w:pPr>
            <w:r>
              <w:rPr>
                <w:sz w:val="24"/>
              </w:rPr>
              <w:t>9</w:t>
            </w:r>
          </w:p>
        </w:tc>
        <w:tc>
          <w:tcPr>
            <w:tcW w:w="1803" w:type="dxa"/>
            <w:vMerge w:val="restart"/>
            <w:tcBorders>
              <w:tl2br w:val="nil"/>
              <w:tr2bl w:val="nil"/>
            </w:tcBorders>
            <w:noWrap/>
            <w:vAlign w:val="center"/>
          </w:tcPr>
          <w:p>
            <w:pPr>
              <w:pStyle w:val="22"/>
              <w:adjustRightInd w:val="0"/>
              <w:snapToGrid w:val="0"/>
              <w:spacing w:line="240" w:lineRule="auto"/>
              <w:rPr>
                <w:sz w:val="24"/>
              </w:rPr>
            </w:pPr>
            <w:r>
              <w:rPr>
                <w:sz w:val="24"/>
              </w:rPr>
              <w:t>比选申请人要求澄清比选文件</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时间：比选申请人在递交比选申请文件截止之日</w:t>
            </w:r>
            <w:r>
              <w:rPr>
                <w:rFonts w:ascii="Times New Roman" w:hAnsi="Times New Roman"/>
                <w:sz w:val="24"/>
                <w:szCs w:val="24"/>
                <w:u w:val="single"/>
              </w:rPr>
              <w:t>3</w:t>
            </w:r>
            <w:r>
              <w:rPr>
                <w:rFonts w:ascii="Times New Roman" w:hAnsi="Times New Roman"/>
                <w:sz w:val="24"/>
                <w:szCs w:val="24"/>
              </w:rPr>
              <w:t>天前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vMerge w:val="continue"/>
            <w:tcBorders>
              <w:tl2br w:val="nil"/>
              <w:tr2bl w:val="nil"/>
            </w:tcBorders>
            <w:noWrap/>
            <w:vAlign w:val="center"/>
          </w:tcPr>
          <w:p>
            <w:pPr>
              <w:pStyle w:val="22"/>
              <w:adjustRightInd w:val="0"/>
              <w:snapToGrid w:val="0"/>
              <w:spacing w:line="340" w:lineRule="exact"/>
              <w:rPr>
                <w:sz w:val="24"/>
              </w:rPr>
            </w:pPr>
          </w:p>
        </w:tc>
        <w:tc>
          <w:tcPr>
            <w:tcW w:w="1803" w:type="dxa"/>
            <w:vMerge w:val="continue"/>
            <w:tcBorders>
              <w:tl2br w:val="nil"/>
              <w:tr2bl w:val="nil"/>
            </w:tcBorders>
            <w:noWrap/>
            <w:vAlign w:val="center"/>
          </w:tcPr>
          <w:p>
            <w:pPr>
              <w:pStyle w:val="22"/>
              <w:adjustRightInd w:val="0"/>
              <w:snapToGrid w:val="0"/>
              <w:spacing w:line="240" w:lineRule="auto"/>
              <w:rPr>
                <w:sz w:val="24"/>
              </w:rPr>
            </w:pP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形式：以书面形式（传真或信函）向比选人提出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10</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比选文件澄清发出的形式</w:t>
            </w:r>
          </w:p>
        </w:tc>
        <w:tc>
          <w:tcPr>
            <w:tcW w:w="6562" w:type="dxa"/>
            <w:tcBorders>
              <w:tl2br w:val="nil"/>
              <w:tr2bl w:val="nil"/>
            </w:tcBorders>
            <w:noWrap/>
            <w:vAlign w:val="center"/>
          </w:tcPr>
          <w:p>
            <w:pPr>
              <w:adjustRightInd w:val="0"/>
              <w:snapToGrid w:val="0"/>
              <w:ind w:firstLine="480" w:firstLineChars="200"/>
              <w:rPr>
                <w:sz w:val="24"/>
              </w:rPr>
            </w:pPr>
            <w:r>
              <w:rPr>
                <w:sz w:val="24"/>
              </w:rPr>
              <w:t>比选申请文件、比选文件通知书（如果有）由比选申请人在四川成渝高速公路股份有限公司公路运营管理一分公司网站（http://www.sccygs.com）上自行下载。</w:t>
            </w:r>
          </w:p>
          <w:p>
            <w:pPr>
              <w:tabs>
                <w:tab w:val="left" w:pos="5220"/>
                <w:tab w:val="left" w:pos="5400"/>
                <w:tab w:val="left" w:pos="5580"/>
              </w:tabs>
              <w:autoSpaceDE w:val="0"/>
              <w:autoSpaceDN w:val="0"/>
              <w:adjustRightInd w:val="0"/>
              <w:snapToGrid w:val="0"/>
              <w:ind w:firstLine="480" w:firstLineChars="200"/>
              <w:rPr>
                <w:sz w:val="24"/>
              </w:rPr>
            </w:pPr>
            <w:r>
              <w:rPr>
                <w:sz w:val="24"/>
              </w:rPr>
              <w:t>比选申请人应在比选申请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0" w:type="dxa"/>
            <w:vMerge w:val="restart"/>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11</w:t>
            </w:r>
          </w:p>
        </w:tc>
        <w:tc>
          <w:tcPr>
            <w:tcW w:w="1803" w:type="dxa"/>
            <w:vMerge w:val="restart"/>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比选申请人确认收到比选文件澄清</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时间：由比选申请人在比选人指定网站上自行查阅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0" w:type="dxa"/>
            <w:vMerge w:val="continue"/>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p>
        </w:tc>
        <w:tc>
          <w:tcPr>
            <w:tcW w:w="1803" w:type="dxa"/>
            <w:vMerge w:val="continue"/>
            <w:tcBorders>
              <w:tl2br w:val="nil"/>
              <w:tr2bl w:val="nil"/>
            </w:tcBorders>
            <w:noWrap/>
            <w:vAlign w:val="center"/>
          </w:tcPr>
          <w:p>
            <w:pPr>
              <w:pStyle w:val="14"/>
              <w:adjustRightInd w:val="0"/>
              <w:snapToGrid w:val="0"/>
              <w:jc w:val="center"/>
              <w:rPr>
                <w:rFonts w:ascii="Times New Roman" w:hAnsi="Times New Roman"/>
                <w:sz w:val="24"/>
                <w:szCs w:val="24"/>
              </w:rPr>
            </w:pP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形式：不要求比选申请人向比选人发出确认函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kern w:val="0"/>
                <w:sz w:val="24"/>
                <w:szCs w:val="24"/>
              </w:rPr>
            </w:pPr>
            <w:r>
              <w:rPr>
                <w:rFonts w:ascii="Times New Roman" w:hAnsi="Times New Roman"/>
                <w:kern w:val="0"/>
                <w:sz w:val="24"/>
                <w:szCs w:val="24"/>
              </w:rPr>
              <w:t>12</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比选申请文件密封的形式</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单信封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kern w:val="0"/>
                <w:sz w:val="24"/>
                <w:szCs w:val="24"/>
              </w:rPr>
            </w:pPr>
            <w:r>
              <w:rPr>
                <w:rFonts w:ascii="Times New Roman" w:hAnsi="Times New Roman"/>
                <w:kern w:val="0"/>
                <w:sz w:val="24"/>
                <w:szCs w:val="24"/>
              </w:rPr>
              <w:t>13</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比选申请文件的组成</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比选申请文件应包括下列内容：</w:t>
            </w:r>
          </w:p>
          <w:p>
            <w:pPr>
              <w:autoSpaceDE w:val="0"/>
              <w:autoSpaceDN w:val="0"/>
              <w:adjustRightInd w:val="0"/>
              <w:rPr>
                <w:sz w:val="24"/>
              </w:rPr>
            </w:pPr>
            <w:r>
              <w:rPr>
                <w:sz w:val="24"/>
              </w:rPr>
              <w:t>(一)比选申请函</w:t>
            </w:r>
          </w:p>
          <w:p>
            <w:pPr>
              <w:autoSpaceDE w:val="0"/>
              <w:autoSpaceDN w:val="0"/>
              <w:adjustRightInd w:val="0"/>
              <w:rPr>
                <w:sz w:val="24"/>
              </w:rPr>
            </w:pPr>
            <w:r>
              <w:rPr>
                <w:sz w:val="24"/>
              </w:rPr>
              <w:t>(二)法定代表人身份证明</w:t>
            </w:r>
          </w:p>
          <w:p>
            <w:pPr>
              <w:autoSpaceDE w:val="0"/>
              <w:autoSpaceDN w:val="0"/>
              <w:adjustRightInd w:val="0"/>
              <w:rPr>
                <w:sz w:val="24"/>
              </w:rPr>
            </w:pPr>
            <w:r>
              <w:rPr>
                <w:sz w:val="24"/>
              </w:rPr>
              <w:t>(三)授权委托书</w:t>
            </w:r>
          </w:p>
          <w:p>
            <w:pPr>
              <w:autoSpaceDE w:val="0"/>
              <w:autoSpaceDN w:val="0"/>
              <w:adjustRightInd w:val="0"/>
              <w:rPr>
                <w:sz w:val="24"/>
              </w:rPr>
            </w:pPr>
            <w:r>
              <w:rPr>
                <w:sz w:val="24"/>
              </w:rPr>
              <w:t>(四)比选申请人基本情况表</w:t>
            </w:r>
            <w:r>
              <w:rPr>
                <w:rFonts w:hint="eastAsia"/>
                <w:sz w:val="24"/>
              </w:rPr>
              <w:t>及拟委任项目负责人资历表</w:t>
            </w:r>
          </w:p>
          <w:p>
            <w:pPr>
              <w:autoSpaceDE w:val="0"/>
              <w:autoSpaceDN w:val="0"/>
              <w:adjustRightInd w:val="0"/>
              <w:rPr>
                <w:sz w:val="24"/>
              </w:rPr>
            </w:pPr>
            <w:r>
              <w:rPr>
                <w:sz w:val="24"/>
              </w:rPr>
              <w:t>(五)近年承担的业绩情况表</w:t>
            </w:r>
          </w:p>
          <w:p>
            <w:pPr>
              <w:autoSpaceDE w:val="0"/>
              <w:autoSpaceDN w:val="0"/>
              <w:adjustRightInd w:val="0"/>
              <w:rPr>
                <w:sz w:val="24"/>
              </w:rPr>
            </w:pPr>
            <w:r>
              <w:rPr>
                <w:sz w:val="24"/>
              </w:rPr>
              <w:t>(六)信誉资料</w:t>
            </w:r>
          </w:p>
          <w:p>
            <w:pPr>
              <w:autoSpaceDE w:val="0"/>
              <w:autoSpaceDN w:val="0"/>
              <w:adjustRightInd w:val="0"/>
              <w:rPr>
                <w:sz w:val="24"/>
              </w:rPr>
            </w:pPr>
            <w:r>
              <w:rPr>
                <w:sz w:val="24"/>
              </w:rPr>
              <w:t>(七)其他资料（如有）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20" w:lineRule="exact"/>
              <w:jc w:val="center"/>
              <w:rPr>
                <w:rFonts w:ascii="Times New Roman" w:hAnsi="Times New Roman"/>
                <w:sz w:val="24"/>
                <w:szCs w:val="24"/>
              </w:rPr>
            </w:pPr>
            <w:r>
              <w:rPr>
                <w:rFonts w:ascii="Times New Roman" w:hAnsi="Times New Roman"/>
                <w:sz w:val="24"/>
                <w:szCs w:val="24"/>
              </w:rPr>
              <w:t>14</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增值税税金的计算方法</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比选申请报价为含税价，增值税税金按国家规定计税方法计算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20" w:lineRule="exact"/>
              <w:jc w:val="center"/>
              <w:rPr>
                <w:rFonts w:ascii="Times New Roman" w:hAnsi="Times New Roman"/>
                <w:sz w:val="24"/>
                <w:szCs w:val="24"/>
              </w:rPr>
            </w:pPr>
            <w:r>
              <w:rPr>
                <w:rFonts w:ascii="Times New Roman" w:hAnsi="Times New Roman"/>
                <w:sz w:val="24"/>
                <w:szCs w:val="24"/>
              </w:rPr>
              <w:t>15</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工程量清单的填写方式</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sym w:font="Wingdings 2" w:char="00A3"/>
            </w:r>
            <w:r>
              <w:rPr>
                <w:rFonts w:ascii="Times New Roman" w:hAnsi="Times New Roman"/>
                <w:sz w:val="24"/>
                <w:szCs w:val="24"/>
              </w:rPr>
              <w:t>比选申请人按照比选人提供的工程量固化清单电子文件填写工程量清单</w:t>
            </w:r>
          </w:p>
          <w:p>
            <w:pPr>
              <w:pStyle w:val="14"/>
              <w:adjustRightInd w:val="0"/>
              <w:snapToGrid w:val="0"/>
              <w:rPr>
                <w:rFonts w:ascii="Times New Roman" w:hAnsi="Times New Roman"/>
                <w:sz w:val="24"/>
                <w:szCs w:val="24"/>
              </w:rPr>
            </w:pPr>
            <w:r>
              <w:rPr>
                <w:rFonts w:ascii="Times New Roman" w:hAnsi="Times New Roman"/>
                <w:sz w:val="24"/>
                <w:szCs w:val="24"/>
              </w:rPr>
              <w:sym w:font="Wingdings 2" w:char="00A3"/>
            </w:r>
            <w:r>
              <w:rPr>
                <w:rFonts w:ascii="Times New Roman" w:hAnsi="Times New Roman"/>
                <w:sz w:val="24"/>
                <w:szCs w:val="24"/>
              </w:rPr>
              <w:t>比选申请人按照比选人提供的书面工程量清单填写工程量清单</w:t>
            </w:r>
          </w:p>
          <w:p>
            <w:pPr>
              <w:pStyle w:val="14"/>
              <w:adjustRightInd w:val="0"/>
              <w:snapToGrid w:val="0"/>
              <w:rPr>
                <w:rFonts w:ascii="Times New Roman" w:hAnsi="Times New Roman"/>
                <w:sz w:val="24"/>
                <w:szCs w:val="24"/>
              </w:rPr>
            </w:pPr>
            <w:r>
              <w:rPr>
                <w:rFonts w:ascii="Times New Roman" w:hAnsi="Times New Roman"/>
                <w:sz w:val="24"/>
                <w:szCs w:val="24"/>
              </w:rPr>
              <w:sym w:font="Wingdings 2" w:char="0052"/>
            </w:r>
            <w:r>
              <w:rPr>
                <w:rFonts w:hint="eastAsia" w:ascii="Times New Roman" w:hAnsi="Times New Roman"/>
                <w:sz w:val="24"/>
                <w:szCs w:val="24"/>
              </w:rPr>
              <w:t>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20" w:lineRule="exact"/>
              <w:jc w:val="center"/>
              <w:rPr>
                <w:rFonts w:ascii="Times New Roman" w:hAnsi="Times New Roman"/>
                <w:sz w:val="24"/>
                <w:szCs w:val="24"/>
              </w:rPr>
            </w:pPr>
            <w:r>
              <w:rPr>
                <w:rFonts w:ascii="Times New Roman" w:hAnsi="Times New Roman"/>
                <w:sz w:val="24"/>
                <w:szCs w:val="24"/>
              </w:rPr>
              <w:t>16</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报价方式</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sym w:font="Wingdings 2" w:char="00A3"/>
            </w:r>
            <w:r>
              <w:rPr>
                <w:rFonts w:ascii="Times New Roman" w:hAnsi="Times New Roman"/>
                <w:sz w:val="24"/>
                <w:szCs w:val="24"/>
              </w:rPr>
              <w:t>比例，本次比选申请以报比例的方式进行报价，且不能高于比选人公布的比选申请最高限价比例</w:t>
            </w:r>
          </w:p>
          <w:p>
            <w:pPr>
              <w:pStyle w:val="14"/>
              <w:adjustRightInd w:val="0"/>
              <w:snapToGrid w:val="0"/>
              <w:rPr>
                <w:rFonts w:ascii="Times New Roman" w:hAnsi="Times New Roman"/>
                <w:sz w:val="24"/>
                <w:szCs w:val="24"/>
              </w:rPr>
            </w:pPr>
            <w:r>
              <w:rPr>
                <w:rFonts w:ascii="Times New Roman" w:hAnsi="Times New Roman"/>
                <w:sz w:val="24"/>
                <w:szCs w:val="24"/>
              </w:rPr>
              <w:sym w:font="Wingdings 2" w:char="0052"/>
            </w:r>
            <w:r>
              <w:rPr>
                <w:rFonts w:ascii="Times New Roman" w:hAnsi="Times New Roman"/>
                <w:sz w:val="24"/>
                <w:szCs w:val="24"/>
              </w:rPr>
              <w:t>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17</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是否接受调价函</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不接受调价函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18</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比选申请有效期</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自比选申请人提交比选申请文件截止之日期起计算</w:t>
            </w:r>
            <w:r>
              <w:rPr>
                <w:rFonts w:ascii="Times New Roman" w:hAnsi="Times New Roman"/>
                <w:sz w:val="24"/>
                <w:szCs w:val="24"/>
                <w:u w:val="single"/>
              </w:rPr>
              <w:t>60</w:t>
            </w:r>
            <w:r>
              <w:rPr>
                <w:rFonts w:ascii="Times New Roman" w:hAnsi="Times New Roman"/>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40" w:lineRule="exact"/>
              <w:jc w:val="center"/>
              <w:rPr>
                <w:rFonts w:ascii="Times New Roman" w:hAnsi="Times New Roman"/>
                <w:sz w:val="24"/>
                <w:szCs w:val="24"/>
              </w:rPr>
            </w:pPr>
            <w:r>
              <w:rPr>
                <w:rFonts w:ascii="Times New Roman" w:hAnsi="Times New Roman"/>
                <w:sz w:val="24"/>
                <w:szCs w:val="24"/>
              </w:rPr>
              <w:t>19</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比选申请保证金</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20" w:lineRule="exact"/>
              <w:jc w:val="center"/>
              <w:rPr>
                <w:rFonts w:ascii="Times New Roman" w:hAnsi="Times New Roman"/>
                <w:sz w:val="24"/>
                <w:szCs w:val="24"/>
              </w:rPr>
            </w:pPr>
            <w:r>
              <w:rPr>
                <w:rFonts w:ascii="Times New Roman" w:hAnsi="Times New Roman"/>
                <w:sz w:val="24"/>
                <w:szCs w:val="24"/>
              </w:rPr>
              <w:t>20</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是否允许递交</w:t>
            </w:r>
          </w:p>
          <w:p>
            <w:pPr>
              <w:pStyle w:val="14"/>
              <w:adjustRightInd w:val="0"/>
              <w:snapToGrid w:val="0"/>
              <w:jc w:val="center"/>
              <w:rPr>
                <w:rFonts w:ascii="Times New Roman" w:hAnsi="Times New Roman"/>
                <w:sz w:val="24"/>
                <w:szCs w:val="24"/>
              </w:rPr>
            </w:pPr>
            <w:r>
              <w:rPr>
                <w:rFonts w:ascii="Times New Roman" w:hAnsi="Times New Roman"/>
                <w:sz w:val="24"/>
                <w:szCs w:val="24"/>
              </w:rPr>
              <w:t>备选比选申请方案</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不允许递交备选比选申请方案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1"/>
              <w:adjustRightInd w:val="0"/>
              <w:snapToGrid w:val="0"/>
              <w:spacing w:after="0" w:line="340" w:lineRule="exact"/>
              <w:jc w:val="center"/>
              <w:rPr>
                <w:sz w:val="24"/>
              </w:rPr>
            </w:pPr>
            <w:r>
              <w:rPr>
                <w:sz w:val="24"/>
              </w:rPr>
              <w:t>21</w:t>
            </w:r>
          </w:p>
        </w:tc>
        <w:tc>
          <w:tcPr>
            <w:tcW w:w="1803" w:type="dxa"/>
            <w:tcBorders>
              <w:tl2br w:val="nil"/>
              <w:tr2bl w:val="nil"/>
            </w:tcBorders>
            <w:noWrap/>
            <w:vAlign w:val="center"/>
          </w:tcPr>
          <w:p>
            <w:pPr>
              <w:pStyle w:val="11"/>
              <w:adjustRightInd w:val="0"/>
              <w:snapToGrid w:val="0"/>
              <w:spacing w:after="0"/>
              <w:jc w:val="center"/>
              <w:rPr>
                <w:sz w:val="24"/>
              </w:rPr>
            </w:pPr>
            <w:r>
              <w:rPr>
                <w:sz w:val="24"/>
              </w:rPr>
              <w:t>签字或盖章要求</w:t>
            </w:r>
          </w:p>
        </w:tc>
        <w:tc>
          <w:tcPr>
            <w:tcW w:w="6562" w:type="dxa"/>
            <w:tcBorders>
              <w:tl2br w:val="nil"/>
              <w:tr2bl w:val="nil"/>
            </w:tcBorders>
            <w:noWrap/>
            <w:vAlign w:val="center"/>
          </w:tcPr>
          <w:p>
            <w:pPr>
              <w:adjustRightInd w:val="0"/>
              <w:snapToGrid w:val="0"/>
              <w:rPr>
                <w:sz w:val="24"/>
              </w:rPr>
            </w:pPr>
            <w:r>
              <w:rPr>
                <w:sz w:val="24"/>
              </w:rPr>
              <w:t>（1）法定代表人或授权的代理人必须在比选申请文件格式上所有要求签署的</w:t>
            </w:r>
            <w:r>
              <w:rPr>
                <w:b/>
                <w:bCs/>
                <w:sz w:val="24"/>
              </w:rPr>
              <w:t>地方亲自签署</w:t>
            </w:r>
            <w:r>
              <w:rPr>
                <w:sz w:val="24"/>
              </w:rPr>
              <w:t>，并不得用印章、签名章或电子制版章代替。</w:t>
            </w:r>
          </w:p>
          <w:p>
            <w:pPr>
              <w:adjustRightInd w:val="0"/>
              <w:snapToGrid w:val="0"/>
              <w:rPr>
                <w:sz w:val="24"/>
              </w:rPr>
            </w:pPr>
            <w:r>
              <w:rPr>
                <w:sz w:val="24"/>
              </w:rPr>
              <w:t>（2）比选申请文件格式上所有要求盖章的地方都须加盖比选申请人单位章（法定名称），不得使用专用印章，单位章内容必须与单位营业执照名称一致。</w:t>
            </w:r>
          </w:p>
          <w:p>
            <w:pPr>
              <w:pStyle w:val="14"/>
              <w:tabs>
                <w:tab w:val="left" w:pos="4452"/>
              </w:tabs>
              <w:adjustRightInd w:val="0"/>
              <w:snapToGrid w:val="0"/>
              <w:rPr>
                <w:rFonts w:ascii="Times New Roman" w:hAnsi="Times New Roman"/>
                <w:sz w:val="24"/>
                <w:szCs w:val="24"/>
              </w:rPr>
            </w:pPr>
            <w:r>
              <w:rPr>
                <w:rFonts w:ascii="Times New Roman" w:hAnsi="Times New Roman"/>
                <w:sz w:val="24"/>
                <w:szCs w:val="24"/>
              </w:rPr>
              <w:t>（3）比选申请文件格式中对应内容在提交的比选申请文件中的任何改动之处应加盖单位章或由比选申请人的法定代表人或其委托代理人签字确认。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20" w:lineRule="exact"/>
              <w:jc w:val="center"/>
              <w:rPr>
                <w:rFonts w:ascii="Times New Roman" w:hAnsi="Times New Roman"/>
                <w:sz w:val="24"/>
                <w:szCs w:val="24"/>
              </w:rPr>
            </w:pPr>
            <w:r>
              <w:rPr>
                <w:rFonts w:ascii="Times New Roman" w:hAnsi="Times New Roman"/>
                <w:sz w:val="24"/>
                <w:szCs w:val="24"/>
              </w:rPr>
              <w:t>22</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比选申请文件份数</w:t>
            </w:r>
          </w:p>
        </w:tc>
        <w:tc>
          <w:tcPr>
            <w:tcW w:w="6562" w:type="dxa"/>
            <w:tcBorders>
              <w:tl2br w:val="nil"/>
              <w:tr2bl w:val="nil"/>
            </w:tcBorders>
            <w:noWrap/>
            <w:vAlign w:val="center"/>
          </w:tcPr>
          <w:p>
            <w:pPr>
              <w:tabs>
                <w:tab w:val="left" w:pos="5220"/>
                <w:tab w:val="left" w:pos="5400"/>
                <w:tab w:val="left" w:pos="5580"/>
              </w:tabs>
              <w:autoSpaceDE w:val="0"/>
              <w:autoSpaceDN w:val="0"/>
              <w:adjustRightInd w:val="0"/>
              <w:snapToGrid w:val="0"/>
              <w:rPr>
                <w:sz w:val="24"/>
              </w:rPr>
            </w:pPr>
            <w:r>
              <w:rPr>
                <w:kern w:val="0"/>
                <w:sz w:val="24"/>
              </w:rPr>
              <w:t>比选申请文件份数：</w:t>
            </w:r>
            <w:r>
              <w:rPr>
                <w:b/>
                <w:bCs/>
                <w:kern w:val="0"/>
                <w:sz w:val="24"/>
              </w:rPr>
              <w:t>正本</w:t>
            </w:r>
            <w:r>
              <w:rPr>
                <w:kern w:val="0"/>
                <w:sz w:val="24"/>
                <w:u w:val="single"/>
              </w:rPr>
              <w:t xml:space="preserve">  1  </w:t>
            </w:r>
            <w:r>
              <w:rPr>
                <w:kern w:val="0"/>
                <w:sz w:val="24"/>
              </w:rPr>
              <w:t>份，</w:t>
            </w:r>
            <w:r>
              <w:rPr>
                <w:b/>
                <w:bCs/>
                <w:kern w:val="0"/>
                <w:sz w:val="24"/>
              </w:rPr>
              <w:t>副本</w:t>
            </w:r>
            <w:r>
              <w:rPr>
                <w:kern w:val="0"/>
                <w:sz w:val="24"/>
                <w:u w:val="single"/>
              </w:rPr>
              <w:t xml:space="preserve">  1  </w:t>
            </w:r>
            <w:r>
              <w:rPr>
                <w:kern w:val="0"/>
                <w:sz w:val="24"/>
              </w:rPr>
              <w:t>份。</w:t>
            </w:r>
            <w:r>
              <w:rPr>
                <w:sz w:val="24"/>
              </w:rPr>
              <w:t>比选申请文件副本由其正本复制（复印）而成（包括证明文件）。当副本和正本不一致时，以正本为准。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60" w:type="dxa"/>
            <w:tcBorders>
              <w:tl2br w:val="nil"/>
              <w:tr2bl w:val="nil"/>
            </w:tcBorders>
            <w:noWrap/>
            <w:vAlign w:val="center"/>
          </w:tcPr>
          <w:p>
            <w:pPr>
              <w:pStyle w:val="11"/>
              <w:adjustRightInd w:val="0"/>
              <w:snapToGrid w:val="0"/>
              <w:spacing w:after="0" w:line="380" w:lineRule="exact"/>
              <w:jc w:val="center"/>
              <w:rPr>
                <w:sz w:val="24"/>
              </w:rPr>
            </w:pPr>
            <w:r>
              <w:rPr>
                <w:sz w:val="24"/>
              </w:rPr>
              <w:t>23</w:t>
            </w:r>
          </w:p>
        </w:tc>
        <w:tc>
          <w:tcPr>
            <w:tcW w:w="1803" w:type="dxa"/>
            <w:tcBorders>
              <w:tl2br w:val="nil"/>
              <w:tr2bl w:val="nil"/>
            </w:tcBorders>
            <w:noWrap/>
            <w:vAlign w:val="center"/>
          </w:tcPr>
          <w:p>
            <w:pPr>
              <w:pStyle w:val="11"/>
              <w:adjustRightInd w:val="0"/>
              <w:snapToGrid w:val="0"/>
              <w:spacing w:after="0"/>
              <w:jc w:val="center"/>
              <w:rPr>
                <w:sz w:val="24"/>
              </w:rPr>
            </w:pPr>
            <w:r>
              <w:rPr>
                <w:sz w:val="24"/>
              </w:rPr>
              <w:t>装订的其他要求</w:t>
            </w:r>
          </w:p>
        </w:tc>
        <w:tc>
          <w:tcPr>
            <w:tcW w:w="6562" w:type="dxa"/>
            <w:tcBorders>
              <w:tl2br w:val="nil"/>
              <w:tr2bl w:val="nil"/>
            </w:tcBorders>
            <w:noWrap/>
            <w:vAlign w:val="center"/>
          </w:tcPr>
          <w:p>
            <w:pPr>
              <w:rPr>
                <w:sz w:val="24"/>
              </w:rPr>
            </w:pPr>
            <w:r>
              <w:rPr>
                <w:sz w:val="24"/>
              </w:rPr>
              <w:t>比选申请文件的正本和副本一律用A4复印纸（图、表及证件可以除外）编制和复制。比选申请文件应按照第六章</w:t>
            </w:r>
            <w:r>
              <w:rPr>
                <w:rFonts w:hint="eastAsia"/>
                <w:sz w:val="24"/>
              </w:rPr>
              <w:t>“</w:t>
            </w:r>
            <w:r>
              <w:rPr>
                <w:sz w:val="24"/>
              </w:rPr>
              <w:t>比选申请文件格式</w:t>
            </w:r>
            <w:r>
              <w:rPr>
                <w:rFonts w:hint="eastAsia"/>
                <w:sz w:val="24"/>
              </w:rPr>
              <w:t>”</w:t>
            </w:r>
            <w:r>
              <w:rPr>
                <w:sz w:val="24"/>
              </w:rPr>
              <w:t>中的目录次序装订；若同一册的内容较多，可装订成若干分册，并在封面标明次序及册数。</w:t>
            </w:r>
          </w:p>
          <w:p>
            <w:pPr>
              <w:pStyle w:val="11"/>
              <w:adjustRightInd w:val="0"/>
              <w:snapToGrid w:val="0"/>
              <w:spacing w:after="0"/>
              <w:ind w:firstLine="480" w:firstLineChars="200"/>
              <w:rPr>
                <w:sz w:val="24"/>
              </w:rPr>
            </w:pPr>
            <w:r>
              <w:rPr>
                <w:sz w:val="24"/>
              </w:rPr>
              <w:t>比选申请文件的正本、副本（副本是正本的复印件或影印件）应采用粘贴或装订方式分别装订成册，并标明</w:t>
            </w:r>
            <w:r>
              <w:rPr>
                <w:rFonts w:hint="eastAsia"/>
                <w:sz w:val="24"/>
              </w:rPr>
              <w:t>“</w:t>
            </w:r>
            <w:r>
              <w:rPr>
                <w:sz w:val="24"/>
              </w:rPr>
              <w:t>正本</w:t>
            </w:r>
            <w:r>
              <w:rPr>
                <w:rFonts w:hint="eastAsia"/>
                <w:sz w:val="24"/>
              </w:rPr>
              <w:t>”</w:t>
            </w:r>
            <w:r>
              <w:rPr>
                <w:sz w:val="24"/>
              </w:rPr>
              <w:t>、</w:t>
            </w:r>
            <w:r>
              <w:rPr>
                <w:rFonts w:hint="eastAsia"/>
                <w:sz w:val="24"/>
              </w:rPr>
              <w:t>“</w:t>
            </w:r>
            <w:r>
              <w:rPr>
                <w:sz w:val="24"/>
              </w:rPr>
              <w:t>副本</w:t>
            </w:r>
            <w:r>
              <w:rPr>
                <w:rFonts w:hint="eastAsia"/>
                <w:sz w:val="24"/>
              </w:rPr>
              <w:t>”</w:t>
            </w:r>
            <w:r>
              <w:rPr>
                <w:sz w:val="24"/>
              </w:rPr>
              <w:t>、不得采用活页夹等可随时拆换的方式装订，同时比选申请文件应编制目录、且逐页标注连续编码，否则，比选人将对比选申请文件页数的丢失、散落或其它后果不承担任何责任。比选文件要求附原件的资料，应一律附于比选申请文件</w:t>
            </w:r>
            <w:r>
              <w:rPr>
                <w:rFonts w:hint="eastAsia"/>
                <w:sz w:val="24"/>
              </w:rPr>
              <w:t>“</w:t>
            </w:r>
            <w:r>
              <w:rPr>
                <w:sz w:val="24"/>
              </w:rPr>
              <w:t>正本</w:t>
            </w:r>
            <w:r>
              <w:rPr>
                <w:rFonts w:hint="eastAsia"/>
                <w:sz w:val="24"/>
              </w:rPr>
              <w:t>”</w:t>
            </w:r>
            <w:r>
              <w:rPr>
                <w:sz w:val="24"/>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960" w:type="dxa"/>
            <w:tcBorders>
              <w:tl2br w:val="nil"/>
              <w:tr2bl w:val="nil"/>
            </w:tcBorders>
            <w:noWrap/>
            <w:vAlign w:val="center"/>
          </w:tcPr>
          <w:p>
            <w:pPr>
              <w:pStyle w:val="11"/>
              <w:adjustRightInd w:val="0"/>
              <w:snapToGrid w:val="0"/>
              <w:spacing w:after="0" w:line="380" w:lineRule="exact"/>
              <w:jc w:val="center"/>
              <w:rPr>
                <w:sz w:val="24"/>
              </w:rPr>
            </w:pPr>
            <w:r>
              <w:rPr>
                <w:sz w:val="24"/>
              </w:rPr>
              <w:t>24</w:t>
            </w:r>
          </w:p>
        </w:tc>
        <w:tc>
          <w:tcPr>
            <w:tcW w:w="1803" w:type="dxa"/>
            <w:tcBorders>
              <w:tl2br w:val="nil"/>
              <w:tr2bl w:val="nil"/>
            </w:tcBorders>
            <w:noWrap/>
            <w:vAlign w:val="center"/>
          </w:tcPr>
          <w:p>
            <w:pPr>
              <w:pStyle w:val="11"/>
              <w:adjustRightInd w:val="0"/>
              <w:snapToGrid w:val="0"/>
              <w:spacing w:after="0"/>
              <w:jc w:val="center"/>
              <w:rPr>
                <w:sz w:val="24"/>
              </w:rPr>
            </w:pPr>
            <w:r>
              <w:rPr>
                <w:sz w:val="24"/>
              </w:rPr>
              <w:t>比选申请文件的密封</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比选申请文件（正本、副本）应密封进同一信封内，封套应加贴封条或加盖密封章，封套的封口处应加盖比选申请人单位章。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1"/>
              <w:adjustRightInd w:val="0"/>
              <w:snapToGrid w:val="0"/>
              <w:spacing w:after="0" w:line="380" w:lineRule="exact"/>
              <w:jc w:val="center"/>
              <w:rPr>
                <w:sz w:val="24"/>
              </w:rPr>
            </w:pPr>
            <w:r>
              <w:rPr>
                <w:sz w:val="24"/>
              </w:rPr>
              <w:t>24.1</w:t>
            </w:r>
          </w:p>
        </w:tc>
        <w:tc>
          <w:tcPr>
            <w:tcW w:w="1803" w:type="dxa"/>
            <w:tcBorders>
              <w:tl2br w:val="nil"/>
              <w:tr2bl w:val="nil"/>
            </w:tcBorders>
            <w:noWrap/>
            <w:vAlign w:val="center"/>
          </w:tcPr>
          <w:p>
            <w:pPr>
              <w:pStyle w:val="11"/>
              <w:adjustRightInd w:val="0"/>
              <w:snapToGrid w:val="0"/>
              <w:spacing w:after="0"/>
              <w:jc w:val="center"/>
              <w:rPr>
                <w:sz w:val="24"/>
              </w:rPr>
            </w:pPr>
            <w:r>
              <w:rPr>
                <w:sz w:val="24"/>
              </w:rPr>
              <w:t>封套上写明</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比选人名称：四川成渝高速公路股份有限公司公路运营管理一分公司</w:t>
            </w:r>
          </w:p>
          <w:p>
            <w:pPr>
              <w:pStyle w:val="14"/>
              <w:adjustRightInd w:val="0"/>
              <w:snapToGrid w:val="0"/>
              <w:rPr>
                <w:rFonts w:ascii="Times New Roman" w:hAnsi="Times New Roman"/>
                <w:sz w:val="24"/>
                <w:szCs w:val="24"/>
              </w:rPr>
            </w:pPr>
            <w:r>
              <w:rPr>
                <w:rFonts w:ascii="Times New Roman" w:hAnsi="Times New Roman"/>
                <w:sz w:val="24"/>
                <w:szCs w:val="24"/>
                <w:u w:val="single"/>
              </w:rPr>
              <w:t xml:space="preserve"> （项目名称） </w:t>
            </w:r>
            <w:r>
              <w:rPr>
                <w:rFonts w:ascii="Times New Roman" w:hAnsi="Times New Roman"/>
                <w:sz w:val="24"/>
                <w:szCs w:val="24"/>
              </w:rPr>
              <w:t>比选申请文件</w:t>
            </w:r>
          </w:p>
          <w:p>
            <w:pPr>
              <w:pStyle w:val="14"/>
              <w:adjustRightInd w:val="0"/>
              <w:snapToGrid w:val="0"/>
              <w:rPr>
                <w:rFonts w:ascii="Times New Roman" w:hAnsi="Times New Roman"/>
                <w:sz w:val="24"/>
                <w:szCs w:val="24"/>
              </w:rPr>
            </w:pPr>
            <w:r>
              <w:rPr>
                <w:rFonts w:ascii="Times New Roman" w:hAnsi="Times New Roman"/>
                <w:sz w:val="24"/>
                <w:szCs w:val="24"/>
              </w:rPr>
              <w:t>在年月日时分前不得开启</w:t>
            </w:r>
          </w:p>
          <w:p>
            <w:pPr>
              <w:pStyle w:val="14"/>
              <w:adjustRightInd w:val="0"/>
              <w:snapToGrid w:val="0"/>
              <w:rPr>
                <w:rFonts w:ascii="Times New Roman" w:hAnsi="Times New Roman"/>
                <w:sz w:val="24"/>
                <w:szCs w:val="24"/>
              </w:rPr>
            </w:pPr>
            <w:r>
              <w:rPr>
                <w:rFonts w:ascii="Times New Roman" w:hAnsi="Times New Roman"/>
                <w:sz w:val="24"/>
                <w:szCs w:val="24"/>
              </w:rPr>
              <w:t>比选申请人名称：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adjustRightInd w:val="0"/>
              <w:snapToGrid w:val="0"/>
              <w:jc w:val="center"/>
              <w:rPr>
                <w:sz w:val="24"/>
              </w:rPr>
            </w:pPr>
            <w:r>
              <w:rPr>
                <w:sz w:val="24"/>
              </w:rPr>
              <w:t>25</w:t>
            </w:r>
          </w:p>
        </w:tc>
        <w:tc>
          <w:tcPr>
            <w:tcW w:w="1803" w:type="dxa"/>
            <w:tcBorders>
              <w:tl2br w:val="nil"/>
              <w:tr2bl w:val="nil"/>
            </w:tcBorders>
            <w:noWrap/>
            <w:vAlign w:val="center"/>
          </w:tcPr>
          <w:p>
            <w:pPr>
              <w:adjustRightInd w:val="0"/>
              <w:snapToGrid w:val="0"/>
              <w:jc w:val="center"/>
              <w:rPr>
                <w:sz w:val="24"/>
              </w:rPr>
            </w:pPr>
            <w:r>
              <w:rPr>
                <w:sz w:val="24"/>
              </w:rPr>
              <w:t>递交比选申请文件文件地点</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四川省成都市成华区迎晖路8号四川成渝高速公路股份有限公司公路运营管理一分公司302会议室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60" w:type="dxa"/>
            <w:tcBorders>
              <w:tl2br w:val="nil"/>
              <w:tr2bl w:val="nil"/>
            </w:tcBorders>
            <w:noWrap/>
            <w:vAlign w:val="center"/>
          </w:tcPr>
          <w:p>
            <w:pPr>
              <w:pStyle w:val="11"/>
              <w:adjustRightInd w:val="0"/>
              <w:snapToGrid w:val="0"/>
              <w:spacing w:after="0" w:line="360" w:lineRule="auto"/>
              <w:jc w:val="center"/>
              <w:rPr>
                <w:sz w:val="24"/>
              </w:rPr>
            </w:pPr>
            <w:r>
              <w:rPr>
                <w:sz w:val="24"/>
              </w:rPr>
              <w:t>26</w:t>
            </w:r>
          </w:p>
        </w:tc>
        <w:tc>
          <w:tcPr>
            <w:tcW w:w="1803" w:type="dxa"/>
            <w:tcBorders>
              <w:tl2br w:val="nil"/>
              <w:tr2bl w:val="nil"/>
            </w:tcBorders>
            <w:noWrap/>
            <w:vAlign w:val="center"/>
          </w:tcPr>
          <w:p>
            <w:pPr>
              <w:pStyle w:val="11"/>
              <w:adjustRightInd w:val="0"/>
              <w:snapToGrid w:val="0"/>
              <w:spacing w:after="0"/>
              <w:jc w:val="center"/>
              <w:rPr>
                <w:sz w:val="24"/>
              </w:rPr>
            </w:pPr>
            <w:r>
              <w:rPr>
                <w:sz w:val="24"/>
              </w:rPr>
              <w:t>是否退还比选申请文件</w:t>
            </w:r>
          </w:p>
        </w:tc>
        <w:tc>
          <w:tcPr>
            <w:tcW w:w="6562" w:type="dxa"/>
            <w:tcBorders>
              <w:tl2br w:val="nil"/>
              <w:tr2bl w:val="nil"/>
            </w:tcBorders>
            <w:noWrap/>
            <w:vAlign w:val="center"/>
          </w:tcPr>
          <w:p>
            <w:pPr>
              <w:pStyle w:val="11"/>
              <w:adjustRightInd w:val="0"/>
              <w:snapToGrid w:val="0"/>
              <w:spacing w:after="0"/>
              <w:rPr>
                <w:sz w:val="24"/>
              </w:rPr>
            </w:pPr>
            <w:r>
              <w:rPr>
                <w:sz w:val="24"/>
              </w:rPr>
              <w:t>不退还。但</w:t>
            </w:r>
            <w:r>
              <w:rPr>
                <w:color w:val="000000"/>
                <w:sz w:val="24"/>
              </w:rPr>
              <w:t>比选申请人不足3家的，不予开标，比选申请文件原封退还比选申请人。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1"/>
              <w:adjustRightInd w:val="0"/>
              <w:snapToGrid w:val="0"/>
              <w:spacing w:after="0"/>
              <w:jc w:val="center"/>
              <w:rPr>
                <w:sz w:val="24"/>
              </w:rPr>
            </w:pPr>
            <w:r>
              <w:rPr>
                <w:sz w:val="24"/>
              </w:rPr>
              <w:t>27</w:t>
            </w:r>
          </w:p>
        </w:tc>
        <w:tc>
          <w:tcPr>
            <w:tcW w:w="1803" w:type="dxa"/>
            <w:tcBorders>
              <w:tl2br w:val="nil"/>
              <w:tr2bl w:val="nil"/>
            </w:tcBorders>
            <w:noWrap/>
            <w:vAlign w:val="center"/>
          </w:tcPr>
          <w:p>
            <w:pPr>
              <w:pStyle w:val="11"/>
              <w:adjustRightInd w:val="0"/>
              <w:snapToGrid w:val="0"/>
              <w:spacing w:after="0"/>
              <w:jc w:val="center"/>
              <w:rPr>
                <w:sz w:val="24"/>
              </w:rPr>
            </w:pPr>
            <w:r>
              <w:rPr>
                <w:sz w:val="24"/>
              </w:rPr>
              <w:t>开标时间和地点</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开标时间：同比选申请截止时间</w:t>
            </w:r>
          </w:p>
          <w:p>
            <w:pPr>
              <w:pStyle w:val="14"/>
              <w:adjustRightInd w:val="0"/>
              <w:snapToGrid w:val="0"/>
              <w:rPr>
                <w:rFonts w:ascii="Times New Roman" w:hAnsi="Times New Roman"/>
                <w:sz w:val="24"/>
                <w:szCs w:val="24"/>
              </w:rPr>
            </w:pPr>
            <w:r>
              <w:rPr>
                <w:rFonts w:ascii="Times New Roman" w:hAnsi="Times New Roman"/>
                <w:sz w:val="24"/>
                <w:szCs w:val="24"/>
              </w:rPr>
              <w:t>开标地点：同递交比选申请文件地点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1"/>
              <w:adjustRightInd w:val="0"/>
              <w:snapToGrid w:val="0"/>
              <w:spacing w:after="0"/>
              <w:jc w:val="center"/>
              <w:rPr>
                <w:sz w:val="24"/>
              </w:rPr>
            </w:pPr>
            <w:r>
              <w:rPr>
                <w:sz w:val="24"/>
              </w:rPr>
              <w:t>27.1</w:t>
            </w:r>
          </w:p>
        </w:tc>
        <w:tc>
          <w:tcPr>
            <w:tcW w:w="1803" w:type="dxa"/>
            <w:tcBorders>
              <w:tl2br w:val="nil"/>
              <w:tr2bl w:val="nil"/>
            </w:tcBorders>
            <w:noWrap/>
            <w:vAlign w:val="center"/>
          </w:tcPr>
          <w:p>
            <w:pPr>
              <w:pStyle w:val="11"/>
              <w:adjustRightInd w:val="0"/>
              <w:snapToGrid w:val="0"/>
              <w:spacing w:after="0"/>
              <w:jc w:val="center"/>
              <w:rPr>
                <w:sz w:val="24"/>
              </w:rPr>
            </w:pPr>
            <w:r>
              <w:rPr>
                <w:sz w:val="24"/>
              </w:rPr>
              <w:t>开标程序</w:t>
            </w:r>
          </w:p>
        </w:tc>
        <w:tc>
          <w:tcPr>
            <w:tcW w:w="6562" w:type="dxa"/>
            <w:tcBorders>
              <w:tl2br w:val="nil"/>
              <w:tr2bl w:val="nil"/>
            </w:tcBorders>
            <w:noWrap/>
            <w:vAlign w:val="center"/>
          </w:tcPr>
          <w:p>
            <w:pPr>
              <w:pStyle w:val="14"/>
              <w:adjustRightInd w:val="0"/>
              <w:snapToGrid w:val="0"/>
              <w:ind w:firstLine="480" w:firstLineChars="200"/>
              <w:rPr>
                <w:rFonts w:ascii="Times New Roman" w:hAnsi="Times New Roman"/>
                <w:sz w:val="24"/>
                <w:szCs w:val="24"/>
              </w:rPr>
            </w:pPr>
            <w:r>
              <w:rPr>
                <w:rFonts w:ascii="Times New Roman" w:hAnsi="Times New Roman"/>
                <w:sz w:val="24"/>
                <w:szCs w:val="24"/>
              </w:rPr>
              <w:t>密封情况检查：由现场监督和参会比选申请人的代表检查所递交的比选申请文件是否存在提前开启情况，当比选申请文件未按比选申请人须知第前附表第24和24.1款密封时，将当场确认，不予开标，原封退还；</w:t>
            </w:r>
          </w:p>
          <w:p>
            <w:pPr>
              <w:pStyle w:val="14"/>
              <w:adjustRightInd w:val="0"/>
              <w:snapToGrid w:val="0"/>
              <w:ind w:firstLine="480" w:firstLineChars="200"/>
              <w:rPr>
                <w:rFonts w:ascii="Times New Roman" w:hAnsi="Times New Roman"/>
                <w:sz w:val="24"/>
                <w:szCs w:val="24"/>
              </w:rPr>
            </w:pPr>
            <w:r>
              <w:rPr>
                <w:rFonts w:ascii="Times New Roman" w:hAnsi="Times New Roman"/>
                <w:sz w:val="24"/>
                <w:szCs w:val="24"/>
              </w:rPr>
              <w:t>开标顺序：随机，当标段比选申请人少于3个（不含3个）将不予开标，当场原封退还比选申请人。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pStyle w:val="14"/>
              <w:adjustRightInd w:val="0"/>
              <w:snapToGrid w:val="0"/>
              <w:spacing w:line="320" w:lineRule="exact"/>
              <w:jc w:val="center"/>
              <w:rPr>
                <w:rFonts w:ascii="Times New Roman" w:hAnsi="Times New Roman"/>
                <w:sz w:val="24"/>
                <w:szCs w:val="24"/>
              </w:rPr>
            </w:pPr>
            <w:r>
              <w:rPr>
                <w:rFonts w:ascii="Times New Roman" w:hAnsi="Times New Roman"/>
                <w:sz w:val="24"/>
                <w:szCs w:val="24"/>
              </w:rPr>
              <w:t>28</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推荐中选候选人的人数</w:t>
            </w:r>
          </w:p>
        </w:tc>
        <w:tc>
          <w:tcPr>
            <w:tcW w:w="6562" w:type="dxa"/>
            <w:tcBorders>
              <w:tl2br w:val="nil"/>
              <w:tr2bl w:val="nil"/>
            </w:tcBorders>
            <w:noWrap/>
            <w:vAlign w:val="center"/>
          </w:tcPr>
          <w:p>
            <w:pPr>
              <w:pStyle w:val="2"/>
              <w:adjustRightInd w:val="0"/>
              <w:snapToGrid w:val="0"/>
              <w:spacing w:line="240" w:lineRule="auto"/>
              <w:ind w:firstLine="0" w:firstLineChars="0"/>
              <w:jc w:val="left"/>
              <w:rPr>
                <w:rFonts w:ascii="Times New Roman" w:hAnsi="Times New Roman"/>
                <w:sz w:val="24"/>
                <w:szCs w:val="24"/>
              </w:rPr>
            </w:pPr>
            <w:r>
              <w:rPr>
                <w:rFonts w:ascii="Times New Roman" w:hAnsi="Times New Roman" w:eastAsia="宋体" w:cs="Times New Roman"/>
                <w:kern w:val="2"/>
                <w:sz w:val="24"/>
                <w:szCs w:val="24"/>
                <w:lang w:val="en-US" w:eastAsia="zh-CN" w:bidi="ar-SA"/>
              </w:rPr>
              <w:t>1～3人（若不足3名时取相应的数量）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adjustRightInd w:val="0"/>
              <w:snapToGrid w:val="0"/>
              <w:jc w:val="center"/>
              <w:rPr>
                <w:sz w:val="24"/>
              </w:rPr>
            </w:pPr>
            <w:r>
              <w:rPr>
                <w:sz w:val="24"/>
              </w:rPr>
              <w:t>29</w:t>
            </w:r>
          </w:p>
        </w:tc>
        <w:tc>
          <w:tcPr>
            <w:tcW w:w="1803" w:type="dxa"/>
            <w:tcBorders>
              <w:tl2br w:val="nil"/>
              <w:tr2bl w:val="nil"/>
            </w:tcBorders>
            <w:noWrap/>
            <w:vAlign w:val="center"/>
          </w:tcPr>
          <w:p>
            <w:pPr>
              <w:adjustRightInd w:val="0"/>
              <w:snapToGrid w:val="0"/>
              <w:jc w:val="center"/>
              <w:rPr>
                <w:sz w:val="24"/>
              </w:rPr>
            </w:pPr>
            <w:r>
              <w:rPr>
                <w:sz w:val="24"/>
              </w:rPr>
              <w:t>比选申请最高限价</w:t>
            </w:r>
          </w:p>
        </w:tc>
        <w:tc>
          <w:tcPr>
            <w:tcW w:w="6562" w:type="dxa"/>
            <w:tcBorders>
              <w:tl2br w:val="nil"/>
              <w:tr2bl w:val="nil"/>
            </w:tcBorders>
            <w:noWrap/>
            <w:vAlign w:val="center"/>
          </w:tcPr>
          <w:p>
            <w:pPr>
              <w:adjustRightInd w:val="0"/>
              <w:snapToGrid w:val="0"/>
              <w:rPr>
                <w:sz w:val="24"/>
              </w:rPr>
            </w:pPr>
            <w:r>
              <w:rPr>
                <w:sz w:val="24"/>
              </w:rPr>
              <w:t>比选申请最高限价</w:t>
            </w:r>
            <w:r>
              <w:rPr>
                <w:b/>
                <w:bCs/>
                <w:sz w:val="24"/>
              </w:rPr>
              <w:t>：</w:t>
            </w:r>
            <w:r>
              <w:rPr>
                <w:b/>
                <w:bCs/>
                <w:color w:val="000000"/>
                <w:kern w:val="0"/>
                <w:sz w:val="24"/>
                <w:u w:val="single"/>
              </w:rPr>
              <w:t>238900元</w:t>
            </w:r>
            <w:r>
              <w:rPr>
                <w:b/>
                <w:bCs/>
                <w:sz w:val="24"/>
              </w:rPr>
              <w:t>；</w:t>
            </w:r>
          </w:p>
          <w:p>
            <w:pPr>
              <w:adjustRightInd w:val="0"/>
              <w:snapToGrid w:val="0"/>
              <w:rPr>
                <w:sz w:val="24"/>
              </w:rPr>
            </w:pPr>
            <w:r>
              <w:rPr>
                <w:sz w:val="24"/>
              </w:rPr>
              <w:t>比选申请最高限价为比选申请人报价的控制上限，比选申请报价超过比选申请最高限价的，其比选申请将被否决。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0" w:type="dxa"/>
            <w:tcBorders>
              <w:tl2br w:val="nil"/>
              <w:tr2bl w:val="nil"/>
            </w:tcBorders>
            <w:noWrap/>
            <w:vAlign w:val="center"/>
          </w:tcPr>
          <w:p>
            <w:pPr>
              <w:pStyle w:val="14"/>
              <w:adjustRightInd w:val="0"/>
              <w:snapToGrid w:val="0"/>
              <w:spacing w:line="320" w:lineRule="exact"/>
              <w:ind w:left="-105" w:leftChars="-50" w:right="-105" w:rightChars="-50"/>
              <w:jc w:val="center"/>
              <w:rPr>
                <w:rFonts w:ascii="Times New Roman" w:hAnsi="Times New Roman"/>
                <w:kern w:val="0"/>
                <w:sz w:val="24"/>
                <w:szCs w:val="24"/>
              </w:rPr>
            </w:pPr>
            <w:r>
              <w:rPr>
                <w:rFonts w:ascii="Times New Roman" w:hAnsi="Times New Roman"/>
                <w:sz w:val="24"/>
                <w:szCs w:val="24"/>
              </w:rPr>
              <w:t>30</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评标委员会的组建</w:t>
            </w:r>
          </w:p>
        </w:tc>
        <w:tc>
          <w:tcPr>
            <w:tcW w:w="6562" w:type="dxa"/>
            <w:tcBorders>
              <w:tl2br w:val="nil"/>
              <w:tr2bl w:val="nil"/>
            </w:tcBorders>
            <w:noWrap/>
            <w:vAlign w:val="center"/>
          </w:tcPr>
          <w:p>
            <w:pPr>
              <w:pStyle w:val="14"/>
              <w:adjustRightInd w:val="0"/>
              <w:snapToGrid w:val="0"/>
              <w:jc w:val="left"/>
              <w:rPr>
                <w:rFonts w:ascii="Times New Roman" w:hAnsi="Times New Roman"/>
                <w:sz w:val="24"/>
                <w:szCs w:val="24"/>
              </w:rPr>
            </w:pPr>
            <w:r>
              <w:rPr>
                <w:rFonts w:ascii="Times New Roman" w:hAnsi="Times New Roman"/>
                <w:sz w:val="24"/>
                <w:szCs w:val="24"/>
              </w:rPr>
              <w:t>评标委员会构成：</w:t>
            </w:r>
            <w:r>
              <w:rPr>
                <w:rFonts w:ascii="Times New Roman" w:hAnsi="Times New Roman"/>
                <w:sz w:val="24"/>
                <w:szCs w:val="24"/>
                <w:u w:val="single"/>
              </w:rPr>
              <w:t>3</w:t>
            </w:r>
            <w:r>
              <w:rPr>
                <w:rFonts w:ascii="Times New Roman" w:hAnsi="Times New Roman"/>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60" w:type="dxa"/>
            <w:tcBorders>
              <w:tl2br w:val="nil"/>
              <w:tr2bl w:val="nil"/>
            </w:tcBorders>
            <w:noWrap/>
            <w:vAlign w:val="center"/>
          </w:tcPr>
          <w:p>
            <w:pPr>
              <w:pStyle w:val="14"/>
              <w:adjustRightInd w:val="0"/>
              <w:snapToGrid w:val="0"/>
              <w:spacing w:line="320" w:lineRule="exact"/>
              <w:ind w:left="-105" w:leftChars="-50" w:right="-105" w:rightChars="-50"/>
              <w:jc w:val="center"/>
              <w:rPr>
                <w:rFonts w:ascii="Times New Roman" w:hAnsi="Times New Roman"/>
                <w:sz w:val="24"/>
                <w:szCs w:val="24"/>
              </w:rPr>
            </w:pPr>
            <w:r>
              <w:rPr>
                <w:rFonts w:ascii="Times New Roman" w:hAnsi="Times New Roman"/>
                <w:sz w:val="24"/>
                <w:szCs w:val="24"/>
              </w:rPr>
              <w:t>31</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评标方法</w:t>
            </w:r>
          </w:p>
        </w:tc>
        <w:tc>
          <w:tcPr>
            <w:tcW w:w="6562" w:type="dxa"/>
            <w:tcBorders>
              <w:tl2br w:val="nil"/>
              <w:tr2bl w:val="nil"/>
            </w:tcBorders>
            <w:noWrap/>
            <w:vAlign w:val="center"/>
          </w:tcPr>
          <w:p>
            <w:pPr>
              <w:pStyle w:val="14"/>
              <w:adjustRightInd w:val="0"/>
              <w:snapToGrid w:val="0"/>
              <w:jc w:val="left"/>
              <w:rPr>
                <w:rFonts w:ascii="Times New Roman" w:hAnsi="Times New Roman"/>
                <w:sz w:val="24"/>
                <w:szCs w:val="24"/>
              </w:rPr>
            </w:pPr>
            <w:r>
              <w:rPr>
                <w:rFonts w:ascii="Times New Roman" w:hAnsi="Times New Roman"/>
                <w:sz w:val="24"/>
                <w:szCs w:val="24"/>
              </w:rPr>
              <w:t>采用经评审的最低投标价法，资格后审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60" w:type="dxa"/>
            <w:tcBorders>
              <w:tl2br w:val="nil"/>
              <w:tr2bl w:val="nil"/>
            </w:tcBorders>
            <w:noWrap/>
            <w:vAlign w:val="center"/>
          </w:tcPr>
          <w:p>
            <w:pPr>
              <w:pStyle w:val="14"/>
              <w:adjustRightInd w:val="0"/>
              <w:snapToGrid w:val="0"/>
              <w:spacing w:line="320" w:lineRule="exact"/>
              <w:jc w:val="center"/>
              <w:rPr>
                <w:rFonts w:ascii="Times New Roman" w:hAnsi="Times New Roman"/>
                <w:sz w:val="24"/>
                <w:szCs w:val="24"/>
              </w:rPr>
            </w:pPr>
            <w:r>
              <w:rPr>
                <w:rFonts w:ascii="Times New Roman" w:hAnsi="Times New Roman"/>
                <w:sz w:val="24"/>
                <w:szCs w:val="24"/>
              </w:rPr>
              <w:t>32</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评选公示结果</w:t>
            </w:r>
          </w:p>
        </w:tc>
        <w:tc>
          <w:tcPr>
            <w:tcW w:w="6562" w:type="dxa"/>
            <w:tcBorders>
              <w:tl2br w:val="nil"/>
              <w:tr2bl w:val="nil"/>
            </w:tcBorders>
            <w:noWrap/>
            <w:vAlign w:val="center"/>
          </w:tcPr>
          <w:p>
            <w:pPr>
              <w:pStyle w:val="14"/>
              <w:adjustRightInd w:val="0"/>
              <w:snapToGrid w:val="0"/>
              <w:jc w:val="left"/>
              <w:rPr>
                <w:rFonts w:ascii="Times New Roman" w:hAnsi="Times New Roman"/>
                <w:sz w:val="24"/>
                <w:szCs w:val="24"/>
              </w:rPr>
            </w:pPr>
            <w:r>
              <w:rPr>
                <w:rFonts w:ascii="Times New Roman" w:hAnsi="Times New Roman"/>
                <w:sz w:val="24"/>
                <w:szCs w:val="24"/>
              </w:rPr>
              <w:t>四川成渝高速公路股份有限公司公路运营管理一分公司网站（http://www.sccygs.com）公示3个工作日，以接受监督。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60" w:type="dxa"/>
            <w:tcBorders>
              <w:tl2br w:val="nil"/>
              <w:tr2bl w:val="nil"/>
            </w:tcBorders>
            <w:noWrap/>
            <w:vAlign w:val="center"/>
          </w:tcPr>
          <w:p>
            <w:pPr>
              <w:pStyle w:val="14"/>
              <w:adjustRightInd w:val="0"/>
              <w:snapToGrid w:val="0"/>
              <w:spacing w:line="320" w:lineRule="exact"/>
              <w:jc w:val="center"/>
              <w:rPr>
                <w:rFonts w:ascii="Times New Roman" w:hAnsi="Times New Roman"/>
                <w:sz w:val="24"/>
                <w:szCs w:val="24"/>
              </w:rPr>
            </w:pPr>
            <w:r>
              <w:rPr>
                <w:rFonts w:ascii="Times New Roman" w:hAnsi="Times New Roman"/>
                <w:sz w:val="24"/>
                <w:szCs w:val="24"/>
              </w:rPr>
              <w:t>33</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履约保证金</w:t>
            </w:r>
          </w:p>
        </w:tc>
        <w:tc>
          <w:tcPr>
            <w:tcW w:w="6562" w:type="dxa"/>
            <w:tcBorders>
              <w:tl2br w:val="nil"/>
              <w:tr2bl w:val="nil"/>
            </w:tcBorders>
            <w:noWrap/>
            <w:vAlign w:val="center"/>
          </w:tcPr>
          <w:p>
            <w:pPr>
              <w:pStyle w:val="14"/>
              <w:adjustRightInd w:val="0"/>
              <w:snapToGrid w:val="0"/>
              <w:jc w:val="left"/>
              <w:rPr>
                <w:rFonts w:ascii="Times New Roman" w:hAnsi="Times New Roman"/>
                <w:sz w:val="24"/>
                <w:szCs w:val="24"/>
              </w:rPr>
            </w:pPr>
            <w:r>
              <w:rPr>
                <w:rFonts w:ascii="Times New Roman" w:hAnsi="Times New Roman"/>
                <w:sz w:val="24"/>
                <w:szCs w:val="24"/>
              </w:rPr>
              <w:t>不要求中选人提交履约保证金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0" w:hRule="atLeast"/>
          <w:jc w:val="center"/>
        </w:trPr>
        <w:tc>
          <w:tcPr>
            <w:tcW w:w="960" w:type="dxa"/>
            <w:vMerge w:val="restart"/>
            <w:tcBorders>
              <w:tl2br w:val="nil"/>
              <w:tr2bl w:val="nil"/>
            </w:tcBorders>
            <w:noWrap/>
            <w:vAlign w:val="center"/>
          </w:tcPr>
          <w:p>
            <w:pPr>
              <w:pStyle w:val="14"/>
              <w:adjustRightInd w:val="0"/>
              <w:snapToGrid w:val="0"/>
              <w:spacing w:line="320" w:lineRule="exact"/>
              <w:ind w:left="-105" w:leftChars="-50" w:right="-105" w:rightChars="-50"/>
              <w:jc w:val="center"/>
              <w:rPr>
                <w:rFonts w:ascii="Times New Roman" w:hAnsi="Times New Roman"/>
                <w:sz w:val="24"/>
                <w:szCs w:val="24"/>
              </w:rPr>
            </w:pPr>
            <w:r>
              <w:rPr>
                <w:rFonts w:ascii="Times New Roman" w:hAnsi="Times New Roman"/>
                <w:sz w:val="24"/>
                <w:szCs w:val="24"/>
              </w:rPr>
              <w:t>34</w:t>
            </w:r>
          </w:p>
        </w:tc>
        <w:tc>
          <w:tcPr>
            <w:tcW w:w="1803" w:type="dxa"/>
            <w:vMerge w:val="restart"/>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签订合同</w:t>
            </w: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中选人公示期满，如果参与本项目的比选申请人对本项目评审结果无异议，由比选人向第一中选候选人发出中选通知书。在中选通知书发出之日起30日内按中选人比选申请报价签订合同协议书，同时签订廉政合同、安全生产合同等其他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60" w:type="dxa"/>
            <w:vMerge w:val="continue"/>
            <w:tcBorders>
              <w:tl2br w:val="nil"/>
              <w:tr2bl w:val="nil"/>
            </w:tcBorders>
            <w:noWrap/>
            <w:vAlign w:val="center"/>
          </w:tcPr>
          <w:p>
            <w:pPr>
              <w:pStyle w:val="14"/>
              <w:adjustRightInd w:val="0"/>
              <w:snapToGrid w:val="0"/>
              <w:spacing w:line="320" w:lineRule="exact"/>
              <w:ind w:left="-105" w:leftChars="-50" w:right="-105" w:rightChars="-50"/>
              <w:jc w:val="center"/>
              <w:rPr>
                <w:rFonts w:ascii="Times New Roman" w:hAnsi="Times New Roman"/>
                <w:sz w:val="24"/>
                <w:szCs w:val="24"/>
              </w:rPr>
            </w:pPr>
          </w:p>
        </w:tc>
        <w:tc>
          <w:tcPr>
            <w:tcW w:w="1803" w:type="dxa"/>
            <w:vMerge w:val="continue"/>
            <w:tcBorders>
              <w:tl2br w:val="nil"/>
              <w:tr2bl w:val="nil"/>
            </w:tcBorders>
            <w:noWrap/>
            <w:vAlign w:val="center"/>
          </w:tcPr>
          <w:p>
            <w:pPr>
              <w:pStyle w:val="14"/>
              <w:adjustRightInd w:val="0"/>
              <w:snapToGrid w:val="0"/>
              <w:jc w:val="center"/>
              <w:rPr>
                <w:rFonts w:ascii="Times New Roman" w:hAnsi="Times New Roman"/>
                <w:sz w:val="24"/>
                <w:szCs w:val="24"/>
              </w:rPr>
            </w:pP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sz w:val="24"/>
                <w:szCs w:val="24"/>
              </w:rPr>
              <w:t>签约合同价为中选人比选申请函上的报价。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 w:type="dxa"/>
            <w:vMerge w:val="continue"/>
            <w:tcBorders>
              <w:tl2br w:val="nil"/>
              <w:tr2bl w:val="nil"/>
            </w:tcBorders>
            <w:noWrap/>
            <w:vAlign w:val="center"/>
          </w:tcPr>
          <w:p>
            <w:pPr>
              <w:pStyle w:val="14"/>
              <w:adjustRightInd w:val="0"/>
              <w:snapToGrid w:val="0"/>
              <w:spacing w:line="320" w:lineRule="exact"/>
              <w:ind w:left="-105" w:leftChars="-50" w:right="-105" w:rightChars="-50"/>
              <w:jc w:val="center"/>
              <w:rPr>
                <w:rFonts w:ascii="Times New Roman" w:hAnsi="Times New Roman"/>
                <w:sz w:val="24"/>
                <w:szCs w:val="24"/>
              </w:rPr>
            </w:pPr>
          </w:p>
        </w:tc>
        <w:tc>
          <w:tcPr>
            <w:tcW w:w="1803" w:type="dxa"/>
            <w:vMerge w:val="continue"/>
            <w:tcBorders>
              <w:tl2br w:val="nil"/>
              <w:tr2bl w:val="nil"/>
            </w:tcBorders>
            <w:noWrap/>
            <w:vAlign w:val="center"/>
          </w:tcPr>
          <w:p>
            <w:pPr>
              <w:pStyle w:val="14"/>
              <w:adjustRightInd w:val="0"/>
              <w:snapToGrid w:val="0"/>
              <w:jc w:val="center"/>
              <w:rPr>
                <w:rFonts w:ascii="Times New Roman" w:hAnsi="Times New Roman"/>
                <w:sz w:val="24"/>
                <w:szCs w:val="24"/>
              </w:rPr>
            </w:pPr>
          </w:p>
        </w:tc>
        <w:tc>
          <w:tcPr>
            <w:tcW w:w="6562" w:type="dxa"/>
            <w:tcBorders>
              <w:tl2br w:val="nil"/>
              <w:tr2bl w:val="nil"/>
            </w:tcBorders>
            <w:noWrap/>
            <w:vAlign w:val="center"/>
          </w:tcPr>
          <w:p>
            <w:pPr>
              <w:pStyle w:val="14"/>
              <w:adjustRightInd w:val="0"/>
              <w:snapToGrid w:val="0"/>
              <w:rPr>
                <w:rFonts w:ascii="Times New Roman" w:hAnsi="Times New Roman"/>
                <w:sz w:val="24"/>
                <w:szCs w:val="24"/>
              </w:rPr>
            </w:pPr>
            <w:r>
              <w:rPr>
                <w:rFonts w:ascii="Times New Roman" w:hAnsi="Times New Roman"/>
                <w:color w:val="000000"/>
                <w:sz w:val="24"/>
                <w:szCs w:val="24"/>
              </w:rPr>
              <w:t>合同文件的制作及费用由中选人负责。合同文件的份数根据需要由比选人与中选人协商确定。在合同协议书签订之前，比选申请文件和中选通知书将约束双方。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tabs>
                <w:tab w:val="center" w:pos="1080"/>
                <w:tab w:val="left" w:pos="5220"/>
                <w:tab w:val="left" w:pos="5400"/>
                <w:tab w:val="left" w:pos="5580"/>
              </w:tabs>
              <w:autoSpaceDE w:val="0"/>
              <w:autoSpaceDN w:val="0"/>
              <w:adjustRightInd w:val="0"/>
              <w:snapToGrid w:val="0"/>
              <w:spacing w:line="320" w:lineRule="exact"/>
              <w:jc w:val="center"/>
              <w:rPr>
                <w:sz w:val="24"/>
              </w:rPr>
            </w:pPr>
            <w:r>
              <w:rPr>
                <w:sz w:val="24"/>
              </w:rPr>
              <w:t>35</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sz w:val="24"/>
                <w:szCs w:val="24"/>
              </w:rPr>
              <w:t>重新比选</w:t>
            </w:r>
          </w:p>
        </w:tc>
        <w:tc>
          <w:tcPr>
            <w:tcW w:w="6562" w:type="dxa"/>
            <w:tcBorders>
              <w:tl2br w:val="nil"/>
              <w:tr2bl w:val="nil"/>
            </w:tcBorders>
            <w:noWrap/>
            <w:vAlign w:val="center"/>
          </w:tcPr>
          <w:p>
            <w:pPr>
              <w:rPr>
                <w:sz w:val="24"/>
              </w:rPr>
            </w:pPr>
            <w:r>
              <w:rPr>
                <w:sz w:val="24"/>
              </w:rPr>
              <w:t>出现下列特殊情况之一，比选人可重新比选：</w:t>
            </w:r>
          </w:p>
          <w:p>
            <w:pPr>
              <w:rPr>
                <w:sz w:val="24"/>
              </w:rPr>
            </w:pPr>
            <w:r>
              <w:rPr>
                <w:sz w:val="24"/>
              </w:rPr>
              <w:t>（1）比选申请截止时间止，递交比选申请文件少于三个的；</w:t>
            </w:r>
          </w:p>
          <w:p>
            <w:pPr>
              <w:rPr>
                <w:sz w:val="24"/>
              </w:rPr>
            </w:pPr>
            <w:r>
              <w:rPr>
                <w:sz w:val="24"/>
              </w:rPr>
              <w:t>（2）经评审委员会评审后否决全部报价的；</w:t>
            </w:r>
          </w:p>
          <w:p>
            <w:pPr>
              <w:rPr>
                <w:sz w:val="24"/>
              </w:rPr>
            </w:pPr>
            <w:r>
              <w:rPr>
                <w:sz w:val="24"/>
              </w:rPr>
              <w:t>（3）评审委员会推荐的中选候选人均未能与比选人签订合同的；</w:t>
            </w:r>
          </w:p>
          <w:p>
            <w:pPr>
              <w:tabs>
                <w:tab w:val="left" w:pos="5220"/>
                <w:tab w:val="left" w:pos="5400"/>
                <w:tab w:val="left" w:pos="5580"/>
              </w:tabs>
              <w:autoSpaceDE w:val="0"/>
              <w:autoSpaceDN w:val="0"/>
              <w:adjustRightInd w:val="0"/>
              <w:snapToGrid w:val="0"/>
              <w:rPr>
                <w:kern w:val="0"/>
                <w:sz w:val="24"/>
              </w:rPr>
            </w:pPr>
            <w:r>
              <w:rPr>
                <w:sz w:val="24"/>
              </w:rPr>
              <w:t>（4）法律规定的其他情形。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tabs>
                <w:tab w:val="center" w:pos="1080"/>
                <w:tab w:val="left" w:pos="5220"/>
                <w:tab w:val="left" w:pos="5400"/>
                <w:tab w:val="left" w:pos="5580"/>
              </w:tabs>
              <w:autoSpaceDE w:val="0"/>
              <w:autoSpaceDN w:val="0"/>
              <w:adjustRightInd w:val="0"/>
              <w:snapToGrid w:val="0"/>
              <w:spacing w:line="320" w:lineRule="exact"/>
              <w:jc w:val="center"/>
              <w:rPr>
                <w:sz w:val="24"/>
              </w:rPr>
            </w:pPr>
            <w:r>
              <w:rPr>
                <w:sz w:val="24"/>
              </w:rPr>
              <w:t>36</w:t>
            </w:r>
          </w:p>
        </w:tc>
        <w:tc>
          <w:tcPr>
            <w:tcW w:w="1803" w:type="dxa"/>
            <w:tcBorders>
              <w:tl2br w:val="nil"/>
              <w:tr2bl w:val="nil"/>
            </w:tcBorders>
            <w:noWrap/>
            <w:vAlign w:val="center"/>
          </w:tcPr>
          <w:p>
            <w:pPr>
              <w:pStyle w:val="14"/>
              <w:adjustRightInd w:val="0"/>
              <w:snapToGrid w:val="0"/>
              <w:jc w:val="center"/>
              <w:rPr>
                <w:rFonts w:ascii="Times New Roman" w:hAnsi="Times New Roman"/>
                <w:sz w:val="24"/>
                <w:szCs w:val="24"/>
              </w:rPr>
            </w:pPr>
            <w:r>
              <w:rPr>
                <w:rFonts w:ascii="Times New Roman" w:hAnsi="Times New Roman"/>
                <w:color w:val="000000"/>
                <w:sz w:val="24"/>
                <w:szCs w:val="24"/>
              </w:rPr>
              <w:t>比选申请人不得存在的其他关联情形</w:t>
            </w:r>
          </w:p>
        </w:tc>
        <w:tc>
          <w:tcPr>
            <w:tcW w:w="6562" w:type="dxa"/>
            <w:tcBorders>
              <w:tl2br w:val="nil"/>
              <w:tr2bl w:val="nil"/>
            </w:tcBorders>
            <w:noWrap/>
            <w:vAlign w:val="center"/>
          </w:tcPr>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（1）为比选人不具有独立法人资格的附属机构（单位）；</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（2）与比选人存在利害关系且可能影响比选公正性；</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（3）与本项目的其他比选申请人同为一个单位负责人；</w:t>
            </w:r>
          </w:p>
          <w:p>
            <w:pPr>
              <w:pStyle w:val="14"/>
              <w:adjustRightInd w:val="0"/>
              <w:snapToGrid w:val="0"/>
              <w:ind w:firstLine="480" w:firstLineChars="200"/>
              <w:rPr>
                <w:rFonts w:ascii="Times New Roman" w:hAnsi="Times New Roman"/>
                <w:color w:val="000000"/>
                <w:sz w:val="24"/>
                <w:szCs w:val="24"/>
              </w:rPr>
            </w:pPr>
            <w:r>
              <w:rPr>
                <w:rFonts w:ascii="Times New Roman" w:hAnsi="Times New Roman"/>
                <w:color w:val="000000"/>
                <w:sz w:val="24"/>
                <w:szCs w:val="24"/>
              </w:rPr>
              <w:t>单位负责人，是指单位法定代表人或者法律、行政法规规定代表单位行使职权的主要负责人。</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（4）与本项目的其他比选申请人存在控股、管理关系；</w:t>
            </w:r>
          </w:p>
          <w:p>
            <w:pPr>
              <w:pStyle w:val="14"/>
              <w:adjustRightInd w:val="0"/>
              <w:snapToGrid w:val="0"/>
              <w:ind w:firstLine="480" w:firstLineChars="200"/>
              <w:rPr>
                <w:rFonts w:ascii="Times New Roman" w:hAnsi="Times New Roman"/>
                <w:color w:val="000000"/>
                <w:sz w:val="24"/>
                <w:szCs w:val="24"/>
              </w:rPr>
            </w:pPr>
            <w:r>
              <w:rPr>
                <w:rFonts w:ascii="Times New Roman" w:hAnsi="Times New Roman"/>
                <w:color w:val="000000"/>
                <w:sz w:val="24"/>
                <w:szCs w:val="24"/>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或者国有企事业单位通过投资关系、协议或者其他安排，能够实际支配公司行为的。</w:t>
            </w:r>
          </w:p>
          <w:p>
            <w:pPr>
              <w:pStyle w:val="14"/>
              <w:adjustRightInd w:val="0"/>
              <w:snapToGrid w:val="0"/>
              <w:ind w:firstLine="480" w:firstLineChars="200"/>
              <w:rPr>
                <w:rFonts w:ascii="Times New Roman" w:hAnsi="Times New Roman"/>
                <w:color w:val="000000"/>
                <w:sz w:val="24"/>
                <w:szCs w:val="24"/>
              </w:rPr>
            </w:pPr>
            <w:r>
              <w:rPr>
                <w:rFonts w:ascii="Times New Roman" w:hAnsi="Times New Roman"/>
                <w:color w:val="000000"/>
                <w:sz w:val="24"/>
                <w:szCs w:val="24"/>
              </w:rPr>
              <w:t>管理关系，是指不具有出资持股关系的其他单位之间存在的管理与被管理关系。</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（5）为本项目的代建人；</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（6）为本项目的比选代理机构；</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（7）与本项目的代建人或比选代理机构同为一个法定代表人；</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（8）与本项目的代建人或比选代理机构存在控股或参股关系；</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（9）与本项目对应工程的施工承包人以及建筑材料、建筑构配件和设备供应商有隶属关系或其他利害关系；</w:t>
            </w:r>
          </w:p>
          <w:p>
            <w:pPr>
              <w:pStyle w:val="14"/>
              <w:adjustRightInd w:val="0"/>
              <w:snapToGrid w:val="0"/>
              <w:rPr>
                <w:rFonts w:ascii="Times New Roman" w:hAnsi="Times New Roman"/>
                <w:sz w:val="24"/>
                <w:szCs w:val="24"/>
              </w:rPr>
            </w:pPr>
            <w:r>
              <w:rPr>
                <w:rFonts w:ascii="Times New Roman" w:hAnsi="Times New Roman"/>
                <w:color w:val="000000"/>
                <w:sz w:val="24"/>
                <w:szCs w:val="24"/>
              </w:rPr>
              <w:t>（10）法律法规或比选人须知前附表规定的其他情形。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tabs>
                <w:tab w:val="center" w:pos="1080"/>
                <w:tab w:val="left" w:pos="5220"/>
                <w:tab w:val="left" w:pos="5400"/>
                <w:tab w:val="left" w:pos="5580"/>
              </w:tabs>
              <w:autoSpaceDE w:val="0"/>
              <w:autoSpaceDN w:val="0"/>
              <w:adjustRightInd w:val="0"/>
              <w:snapToGrid w:val="0"/>
              <w:spacing w:line="320" w:lineRule="exact"/>
              <w:jc w:val="center"/>
              <w:rPr>
                <w:sz w:val="24"/>
              </w:rPr>
            </w:pPr>
            <w:r>
              <w:rPr>
                <w:sz w:val="24"/>
              </w:rPr>
              <w:t>37</w:t>
            </w:r>
          </w:p>
        </w:tc>
        <w:tc>
          <w:tcPr>
            <w:tcW w:w="1803" w:type="dxa"/>
            <w:tcBorders>
              <w:tl2br w:val="nil"/>
              <w:tr2bl w:val="nil"/>
            </w:tcBorders>
            <w:noWrap/>
            <w:vAlign w:val="center"/>
          </w:tcPr>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比选申请文件中权利和义务应符合比选文件的规定</w:t>
            </w:r>
          </w:p>
        </w:tc>
        <w:tc>
          <w:tcPr>
            <w:tcW w:w="6562" w:type="dxa"/>
            <w:tcBorders>
              <w:tl2br w:val="nil"/>
              <w:tr2bl w:val="nil"/>
            </w:tcBorders>
            <w:noWrap/>
            <w:vAlign w:val="center"/>
          </w:tcPr>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（1）比选申请人应接受比选文件规定的风险划分原则，未提出新的风险划分办法；</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（2）比选申请人未增加委托人的责任范围，或减少比选申请人义务；</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（3）比选申请人未提出不同的工程验收、计量、支付办法；</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（4）比选申请人对合同纠纷、事故处理办法未提出异议；</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（5）比选申请人在</w:t>
            </w:r>
            <w:r>
              <w:rPr>
                <w:rFonts w:hint="eastAsia" w:ascii="Times New Roman" w:hAnsi="Times New Roman"/>
                <w:color w:val="000000"/>
                <w:sz w:val="24"/>
                <w:szCs w:val="24"/>
              </w:rPr>
              <w:t>比选</w:t>
            </w:r>
            <w:r>
              <w:rPr>
                <w:rFonts w:ascii="Times New Roman" w:hAnsi="Times New Roman"/>
                <w:color w:val="000000"/>
                <w:sz w:val="24"/>
                <w:szCs w:val="24"/>
              </w:rPr>
              <w:t xml:space="preserve">活动中无欺诈行为； </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（6）比选申请人未对合同条款有重要保留。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ign w:val="center"/>
          </w:tcPr>
          <w:p>
            <w:pPr>
              <w:tabs>
                <w:tab w:val="center" w:pos="1080"/>
                <w:tab w:val="left" w:pos="5220"/>
                <w:tab w:val="left" w:pos="5400"/>
                <w:tab w:val="left" w:pos="5580"/>
              </w:tabs>
              <w:autoSpaceDE w:val="0"/>
              <w:autoSpaceDN w:val="0"/>
              <w:adjustRightInd w:val="0"/>
              <w:snapToGrid w:val="0"/>
              <w:spacing w:line="320" w:lineRule="exact"/>
              <w:jc w:val="center"/>
              <w:rPr>
                <w:sz w:val="24"/>
              </w:rPr>
            </w:pPr>
            <w:r>
              <w:rPr>
                <w:sz w:val="24"/>
              </w:rPr>
              <w:t>38</w:t>
            </w:r>
          </w:p>
        </w:tc>
        <w:tc>
          <w:tcPr>
            <w:tcW w:w="1803" w:type="dxa"/>
            <w:tcBorders>
              <w:tl2br w:val="nil"/>
              <w:tr2bl w:val="nil"/>
            </w:tcBorders>
            <w:noWrap/>
            <w:vAlign w:val="center"/>
          </w:tcPr>
          <w:p>
            <w:pPr>
              <w:pStyle w:val="14"/>
              <w:adjustRightInd w:val="0"/>
              <w:snapToGrid w:val="0"/>
              <w:jc w:val="center"/>
              <w:rPr>
                <w:rFonts w:ascii="Times New Roman" w:hAnsi="Times New Roman"/>
                <w:color w:val="000000"/>
                <w:sz w:val="24"/>
                <w:szCs w:val="24"/>
              </w:rPr>
            </w:pPr>
            <w:r>
              <w:rPr>
                <w:rFonts w:ascii="Times New Roman" w:hAnsi="Times New Roman"/>
                <w:color w:val="000000"/>
                <w:sz w:val="24"/>
                <w:szCs w:val="24"/>
              </w:rPr>
              <w:t>监督部门</w:t>
            </w:r>
          </w:p>
        </w:tc>
        <w:tc>
          <w:tcPr>
            <w:tcW w:w="6562" w:type="dxa"/>
            <w:tcBorders>
              <w:tl2br w:val="nil"/>
              <w:tr2bl w:val="nil"/>
            </w:tcBorders>
            <w:noWrap/>
            <w:vAlign w:val="center"/>
          </w:tcPr>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四川成渝高速公路股份有限公司公路运营一分公司纪检办公室</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地址：成都市成华区迎晖路8号</w:t>
            </w:r>
          </w:p>
          <w:p>
            <w:pPr>
              <w:pStyle w:val="14"/>
              <w:adjustRightInd w:val="0"/>
              <w:snapToGrid w:val="0"/>
              <w:rPr>
                <w:rFonts w:ascii="Times New Roman" w:hAnsi="Times New Roman"/>
                <w:color w:val="000000"/>
                <w:sz w:val="24"/>
                <w:szCs w:val="24"/>
              </w:rPr>
            </w:pPr>
            <w:r>
              <w:rPr>
                <w:rFonts w:ascii="Times New Roman" w:hAnsi="Times New Roman"/>
                <w:color w:val="000000"/>
                <w:sz w:val="24"/>
                <w:szCs w:val="24"/>
              </w:rPr>
              <w:t>联系电话：028-84600993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325" w:type="dxa"/>
            <w:gridSpan w:val="3"/>
            <w:tcBorders>
              <w:tl2br w:val="nil"/>
              <w:tr2bl w:val="nil"/>
            </w:tcBorders>
            <w:noWrap/>
            <w:vAlign w:val="center"/>
          </w:tcPr>
          <w:p>
            <w:pPr>
              <w:tabs>
                <w:tab w:val="left" w:pos="5220"/>
                <w:tab w:val="left" w:pos="5400"/>
                <w:tab w:val="left" w:pos="5580"/>
              </w:tabs>
              <w:autoSpaceDE w:val="0"/>
              <w:autoSpaceDN w:val="0"/>
              <w:adjustRightInd w:val="0"/>
              <w:snapToGrid w:val="0"/>
              <w:rPr>
                <w:sz w:val="24"/>
              </w:rPr>
            </w:pPr>
            <w:r>
              <w:rPr>
                <w:sz w:val="24"/>
              </w:rPr>
              <w:t>注</w:t>
            </w:r>
            <w:r>
              <w:rPr>
                <w:color w:val="000000"/>
                <w:kern w:val="0"/>
                <w:sz w:val="24"/>
              </w:rPr>
              <w:t>：表中未填内容请见比选公告和比选申请人须知。比选申请人须知前附表与正文不一致的，以比选申请人须知前附表为准。</w:t>
            </w:r>
          </w:p>
        </w:tc>
      </w:tr>
    </w:tbl>
    <w:p>
      <w:pPr>
        <w:spacing w:line="360" w:lineRule="auto"/>
        <w:jc w:val="center"/>
        <w:rPr>
          <w:b/>
          <w:sz w:val="28"/>
          <w:szCs w:val="28"/>
        </w:rPr>
      </w:pPr>
      <w:r>
        <w:rPr>
          <w:b/>
          <w:sz w:val="28"/>
          <w:szCs w:val="28"/>
        </w:rPr>
        <w:br w:type="page"/>
      </w:r>
    </w:p>
    <w:p>
      <w:pPr>
        <w:pStyle w:val="14"/>
        <w:spacing w:line="360" w:lineRule="auto"/>
        <w:ind w:firstLine="420"/>
        <w:jc w:val="center"/>
        <w:outlineLvl w:val="2"/>
        <w:rPr>
          <w:rFonts w:ascii="Times New Roman" w:hAnsi="Times New Roman"/>
        </w:rPr>
      </w:pPr>
      <w:r>
        <w:rPr>
          <w:rFonts w:ascii="Times New Roman" w:hAnsi="Times New Roman"/>
          <w:b/>
          <w:sz w:val="28"/>
          <w:szCs w:val="28"/>
        </w:rPr>
        <w:t>附录1 资格审查条件（资质最低要求）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7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1337" w:type="dxa"/>
            <w:noWrap/>
            <w:vAlign w:val="center"/>
          </w:tcPr>
          <w:p>
            <w:pPr>
              <w:jc w:val="center"/>
              <w:rPr>
                <w:sz w:val="24"/>
              </w:rPr>
            </w:pPr>
            <w:r>
              <w:rPr>
                <w:sz w:val="24"/>
              </w:rPr>
              <w:t>标段</w:t>
            </w:r>
          </w:p>
        </w:tc>
        <w:tc>
          <w:tcPr>
            <w:tcW w:w="7824" w:type="dxa"/>
            <w:noWrap/>
            <w:vAlign w:val="center"/>
          </w:tcPr>
          <w:p>
            <w:pPr>
              <w:jc w:val="center"/>
              <w:rPr>
                <w:sz w:val="24"/>
              </w:rPr>
            </w:pPr>
            <w:r>
              <w:rPr>
                <w:sz w:val="24"/>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337" w:type="dxa"/>
            <w:noWrap/>
            <w:vAlign w:val="center"/>
          </w:tcPr>
          <w:p>
            <w:pPr>
              <w:jc w:val="center"/>
              <w:rPr>
                <w:sz w:val="24"/>
              </w:rPr>
            </w:pPr>
            <w:r>
              <w:rPr>
                <w:color w:val="000000"/>
                <w:sz w:val="24"/>
              </w:rPr>
              <w:t>CYGS-FL</w:t>
            </w:r>
          </w:p>
        </w:tc>
        <w:tc>
          <w:tcPr>
            <w:tcW w:w="7824" w:type="dxa"/>
            <w:noWrap/>
            <w:vAlign w:val="center"/>
          </w:tcPr>
          <w:p>
            <w:pPr>
              <w:widowControl/>
              <w:numPr>
                <w:ilvl w:val="0"/>
                <w:numId w:val="3"/>
              </w:numPr>
              <w:spacing w:line="440" w:lineRule="exact"/>
              <w:ind w:left="0" w:firstLine="0"/>
              <w:rPr>
                <w:color w:val="000000"/>
                <w:sz w:val="24"/>
              </w:rPr>
            </w:pPr>
            <w:r>
              <w:rPr>
                <w:sz w:val="24"/>
              </w:rPr>
              <w:t>比选申请人应具有独立法人资格、持有有效营业执照、基本账户开户许可证（基本账户开户行出具）或基本存款账户信息表</w:t>
            </w:r>
            <w:r>
              <w:rPr>
                <w:rFonts w:hint="eastAsia"/>
                <w:sz w:val="24"/>
                <w:lang w:eastAsia="zh-CN"/>
              </w:rPr>
              <w:t>；</w:t>
            </w:r>
          </w:p>
          <w:p>
            <w:pPr>
              <w:widowControl/>
              <w:numPr>
                <w:ilvl w:val="0"/>
                <w:numId w:val="3"/>
              </w:numPr>
              <w:spacing w:line="440" w:lineRule="exact"/>
              <w:ind w:left="0" w:firstLine="0"/>
              <w:rPr>
                <w:sz w:val="24"/>
              </w:rPr>
            </w:pPr>
            <w:r>
              <w:rPr>
                <w:color w:val="000000"/>
                <w:sz w:val="24"/>
              </w:rPr>
              <w:t>具备由国家气象主管部门授予的雷电防护装置检测乙级及以上资质，且在有效期内。</w:t>
            </w:r>
          </w:p>
        </w:tc>
      </w:tr>
    </w:tbl>
    <w:p>
      <w:pPr>
        <w:pStyle w:val="14"/>
        <w:spacing w:line="360" w:lineRule="auto"/>
        <w:ind w:firstLine="420"/>
        <w:jc w:val="center"/>
        <w:outlineLvl w:val="2"/>
        <w:rPr>
          <w:rFonts w:ascii="Times New Roman" w:hAnsi="Times New Roman"/>
          <w:b/>
          <w:sz w:val="28"/>
          <w:szCs w:val="28"/>
        </w:rPr>
      </w:pPr>
      <w:r>
        <w:rPr>
          <w:rFonts w:ascii="Times New Roman" w:hAnsi="Times New Roman"/>
          <w:b/>
          <w:sz w:val="28"/>
          <w:szCs w:val="28"/>
        </w:rPr>
        <w:t>附录2 资格审查条件（业绩最低要求）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75" w:type="dxa"/>
            <w:noWrap/>
            <w:vAlign w:val="center"/>
          </w:tcPr>
          <w:p>
            <w:pPr>
              <w:ind w:left="240" w:hanging="240" w:hangingChars="100"/>
              <w:jc w:val="center"/>
              <w:rPr>
                <w:bCs/>
                <w:sz w:val="24"/>
              </w:rPr>
            </w:pPr>
            <w:r>
              <w:rPr>
                <w:bCs/>
                <w:sz w:val="24"/>
              </w:rPr>
              <w:t>标段</w:t>
            </w:r>
          </w:p>
        </w:tc>
        <w:tc>
          <w:tcPr>
            <w:tcW w:w="7654" w:type="dxa"/>
            <w:noWrap/>
            <w:vAlign w:val="center"/>
          </w:tcPr>
          <w:p>
            <w:pPr>
              <w:tabs>
                <w:tab w:val="left" w:pos="360"/>
              </w:tabs>
              <w:jc w:val="center"/>
              <w:rPr>
                <w:sz w:val="24"/>
              </w:rPr>
            </w:pPr>
            <w:r>
              <w:rPr>
                <w:sz w:val="24"/>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375" w:type="dxa"/>
            <w:noWrap/>
            <w:vAlign w:val="center"/>
          </w:tcPr>
          <w:p>
            <w:pPr>
              <w:jc w:val="center"/>
              <w:rPr>
                <w:szCs w:val="21"/>
              </w:rPr>
            </w:pPr>
            <w:r>
              <w:rPr>
                <w:color w:val="000000"/>
                <w:sz w:val="24"/>
              </w:rPr>
              <w:t>CYGS-FL</w:t>
            </w:r>
          </w:p>
        </w:tc>
        <w:tc>
          <w:tcPr>
            <w:tcW w:w="7654" w:type="dxa"/>
            <w:noWrap/>
            <w:vAlign w:val="center"/>
          </w:tcPr>
          <w:p>
            <w:pPr>
              <w:widowControl/>
              <w:spacing w:line="440" w:lineRule="exact"/>
              <w:ind w:firstLine="480" w:firstLineChars="200"/>
              <w:rPr>
                <w:szCs w:val="21"/>
              </w:rPr>
            </w:pPr>
            <w:r>
              <w:rPr>
                <w:sz w:val="24"/>
              </w:rPr>
              <w:t>比选申请人近3年内（2022年1月1日起，以合同签订时间为准）至少承担3</w:t>
            </w:r>
            <w:r>
              <w:rPr>
                <w:rFonts w:hint="eastAsia"/>
                <w:sz w:val="24"/>
              </w:rPr>
              <w:t>项</w:t>
            </w:r>
            <w:r>
              <w:rPr>
                <w:sz w:val="24"/>
              </w:rPr>
              <w:t>防雷设施设备检测业绩</w:t>
            </w:r>
            <w:r>
              <w:rPr>
                <w:rFonts w:hint="eastAsia"/>
                <w:sz w:val="24"/>
              </w:rPr>
              <w:t>（其中至少一项业绩合同范围包含高速公路沿线机电设施防雷检测项目）</w:t>
            </w:r>
            <w:r>
              <w:rPr>
                <w:sz w:val="24"/>
              </w:rPr>
              <w:t>。</w:t>
            </w:r>
            <w:r>
              <w:rPr>
                <w:rFonts w:hint="eastAsia"/>
                <w:sz w:val="24"/>
              </w:rPr>
              <w:t>须</w:t>
            </w:r>
            <w:r>
              <w:rPr>
                <w:sz w:val="24"/>
              </w:rPr>
              <w:t>提供有效的合同业绩作为证明材料。</w:t>
            </w:r>
          </w:p>
        </w:tc>
      </w:tr>
    </w:tbl>
    <w:p>
      <w:pPr>
        <w:pStyle w:val="14"/>
        <w:spacing w:line="360" w:lineRule="auto"/>
        <w:jc w:val="center"/>
        <w:outlineLvl w:val="2"/>
        <w:rPr>
          <w:rFonts w:ascii="Times New Roman" w:hAnsi="Times New Roman"/>
          <w:b/>
          <w:sz w:val="28"/>
          <w:szCs w:val="28"/>
        </w:rPr>
      </w:pPr>
      <w:bookmarkStart w:id="33" w:name="_Toc496658005"/>
      <w:r>
        <w:rPr>
          <w:rFonts w:ascii="Times New Roman" w:hAnsi="Times New Roman"/>
          <w:b/>
          <w:sz w:val="28"/>
          <w:szCs w:val="28"/>
        </w:rPr>
        <w:t>附录3资格审查条件（信誉最低要求）</w:t>
      </w:r>
      <w:bookmarkEnd w:id="3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87" w:type="dxa"/>
            <w:noWrap/>
            <w:vAlign w:val="center"/>
          </w:tcPr>
          <w:p>
            <w:pPr>
              <w:ind w:left="240" w:hanging="240" w:hangingChars="100"/>
              <w:jc w:val="center"/>
              <w:rPr>
                <w:bCs/>
                <w:sz w:val="24"/>
              </w:rPr>
            </w:pPr>
            <w:r>
              <w:rPr>
                <w:bCs/>
                <w:sz w:val="24"/>
              </w:rPr>
              <w:t>标段</w:t>
            </w:r>
          </w:p>
        </w:tc>
        <w:tc>
          <w:tcPr>
            <w:tcW w:w="7769" w:type="dxa"/>
            <w:noWrap/>
            <w:vAlign w:val="center"/>
          </w:tcPr>
          <w:p>
            <w:pPr>
              <w:jc w:val="center"/>
              <w:rPr>
                <w:sz w:val="24"/>
              </w:rPr>
            </w:pPr>
            <w:r>
              <w:rPr>
                <w:sz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7" w:type="dxa"/>
            <w:noWrap/>
            <w:vAlign w:val="center"/>
          </w:tcPr>
          <w:p>
            <w:pPr>
              <w:jc w:val="center"/>
              <w:rPr>
                <w:szCs w:val="21"/>
              </w:rPr>
            </w:pPr>
            <w:r>
              <w:rPr>
                <w:color w:val="000000"/>
                <w:sz w:val="24"/>
              </w:rPr>
              <w:t>CYGS-FL</w:t>
            </w:r>
          </w:p>
        </w:tc>
        <w:tc>
          <w:tcPr>
            <w:tcW w:w="7769" w:type="dxa"/>
            <w:noWrap/>
            <w:vAlign w:val="center"/>
          </w:tcPr>
          <w:p>
            <w:pPr>
              <w:spacing w:line="360" w:lineRule="auto"/>
              <w:rPr>
                <w:rFonts w:hint="eastAsia" w:eastAsia="宋体"/>
                <w:color w:val="000000"/>
                <w:sz w:val="24"/>
                <w:lang w:eastAsia="zh-CN"/>
              </w:rPr>
            </w:pPr>
            <w:r>
              <w:rPr>
                <w:color w:val="000000"/>
                <w:sz w:val="24"/>
              </w:rPr>
              <w:t>1.比选申请人对通过</w:t>
            </w:r>
            <w:r>
              <w:rPr>
                <w:rFonts w:hint="eastAsia"/>
                <w:color w:val="000000"/>
                <w:sz w:val="24"/>
              </w:rPr>
              <w:t>“</w:t>
            </w:r>
            <w:r>
              <w:rPr>
                <w:color w:val="000000"/>
                <w:sz w:val="24"/>
              </w:rPr>
              <w:t>信用中国</w:t>
            </w:r>
            <w:r>
              <w:rPr>
                <w:rFonts w:hint="eastAsia"/>
                <w:color w:val="000000"/>
                <w:sz w:val="24"/>
              </w:rPr>
              <w:t>”</w:t>
            </w:r>
            <w:r>
              <w:rPr>
                <w:color w:val="000000"/>
                <w:sz w:val="24"/>
              </w:rPr>
              <w:t>网站（http：//www.creditchina.gov.cn/）查询</w:t>
            </w:r>
            <w:r>
              <w:rPr>
                <w:rFonts w:hint="eastAsia"/>
                <w:color w:val="000000"/>
                <w:sz w:val="24"/>
              </w:rPr>
              <w:t>“</w:t>
            </w:r>
            <w:r>
              <w:rPr>
                <w:color w:val="000000"/>
                <w:sz w:val="24"/>
              </w:rPr>
              <w:t>失信被执行人</w:t>
            </w:r>
            <w:r>
              <w:rPr>
                <w:rFonts w:hint="eastAsia"/>
                <w:color w:val="000000"/>
                <w:sz w:val="24"/>
              </w:rPr>
              <w:t>”</w:t>
            </w:r>
            <w:r>
              <w:rPr>
                <w:color w:val="000000"/>
                <w:sz w:val="24"/>
              </w:rPr>
              <w:t>链接</w:t>
            </w:r>
            <w:r>
              <w:rPr>
                <w:rFonts w:hint="eastAsia"/>
                <w:color w:val="000000"/>
                <w:sz w:val="24"/>
              </w:rPr>
              <w:t>“</w:t>
            </w:r>
            <w:r>
              <w:rPr>
                <w:color w:val="000000"/>
                <w:sz w:val="24"/>
              </w:rPr>
              <w:t>中国执行信息公开网(http://zxgk.court.gov.cn/shixin/)</w:t>
            </w:r>
            <w:r>
              <w:rPr>
                <w:rFonts w:hint="eastAsia"/>
                <w:color w:val="000000"/>
                <w:sz w:val="24"/>
              </w:rPr>
              <w:t>”</w:t>
            </w:r>
            <w:r>
              <w:rPr>
                <w:color w:val="000000"/>
                <w:sz w:val="24"/>
              </w:rPr>
              <w:t>中列为失信被执行人的比选申请人，不得参加本次比选</w:t>
            </w:r>
            <w:r>
              <w:rPr>
                <w:rFonts w:hint="eastAsia"/>
                <w:color w:val="000000"/>
                <w:sz w:val="24"/>
                <w:lang w:eastAsia="zh-CN"/>
              </w:rPr>
              <w:t>；</w:t>
            </w:r>
          </w:p>
          <w:p>
            <w:pPr>
              <w:spacing w:line="360" w:lineRule="auto"/>
              <w:rPr>
                <w:rFonts w:hint="eastAsia" w:eastAsia="宋体"/>
                <w:color w:val="000000"/>
                <w:sz w:val="24"/>
                <w:lang w:eastAsia="zh-CN"/>
              </w:rPr>
            </w:pPr>
            <w:r>
              <w:rPr>
                <w:color w:val="000000"/>
                <w:sz w:val="24"/>
              </w:rPr>
              <w:t>2.比选申请人在国家企业信用信息公示系统（www.gsxt.gov.cn）中查询未被列入严重违法失信企业名单</w:t>
            </w:r>
            <w:r>
              <w:rPr>
                <w:rFonts w:hint="eastAsia"/>
                <w:color w:val="000000"/>
                <w:sz w:val="24"/>
                <w:lang w:eastAsia="zh-CN"/>
              </w:rPr>
              <w:t>；</w:t>
            </w:r>
          </w:p>
          <w:p>
            <w:pPr>
              <w:spacing w:line="360" w:lineRule="auto"/>
              <w:rPr>
                <w:bCs/>
                <w:highlight w:val="yellow"/>
              </w:rPr>
            </w:pPr>
            <w:r>
              <w:rPr>
                <w:color w:val="000000"/>
                <w:sz w:val="24"/>
              </w:rPr>
              <w:t>3.在202</w:t>
            </w:r>
            <w:r>
              <w:rPr>
                <w:rFonts w:hint="eastAsia"/>
                <w:color w:val="000000"/>
                <w:sz w:val="24"/>
              </w:rPr>
              <w:t>2</w:t>
            </w:r>
            <w:r>
              <w:rPr>
                <w:color w:val="000000"/>
                <w:sz w:val="24"/>
              </w:rPr>
              <w:t>年1月1日至本项目比选</w:t>
            </w:r>
            <w:r>
              <w:rPr>
                <w:rFonts w:hint="eastAsia"/>
                <w:color w:val="000000"/>
                <w:sz w:val="24"/>
                <w:lang w:val="en-US" w:eastAsia="zh-CN"/>
              </w:rPr>
              <w:t>申请</w:t>
            </w:r>
            <w:r>
              <w:rPr>
                <w:color w:val="000000"/>
                <w:sz w:val="24"/>
              </w:rPr>
              <w:t>截止日期间，比选申请人（单位）、法定代表人没有被人民法院生效判决或裁定认定为行贿犯罪。</w:t>
            </w:r>
          </w:p>
        </w:tc>
      </w:tr>
      <w:bookmarkEnd w:id="29"/>
      <w:bookmarkEnd w:id="30"/>
      <w:bookmarkEnd w:id="31"/>
      <w:bookmarkEnd w:id="32"/>
    </w:tbl>
    <w:p>
      <w:pPr>
        <w:spacing w:line="460" w:lineRule="exact"/>
        <w:ind w:left="540"/>
      </w:pPr>
      <w:bookmarkStart w:id="34" w:name="_Toc6976869"/>
      <w:bookmarkStart w:id="35" w:name="_Toc230598467"/>
    </w:p>
    <w:p>
      <w:pPr>
        <w:pStyle w:val="14"/>
        <w:spacing w:line="360" w:lineRule="auto"/>
        <w:jc w:val="center"/>
        <w:outlineLvl w:val="2"/>
        <w:rPr>
          <w:rFonts w:ascii="Times New Roman" w:hAnsi="Times New Roman"/>
          <w:b/>
          <w:sz w:val="28"/>
          <w:szCs w:val="28"/>
        </w:rPr>
      </w:pPr>
      <w:r>
        <w:rPr>
          <w:rFonts w:ascii="Times New Roman" w:hAnsi="Times New Roman"/>
          <w:b/>
          <w:sz w:val="28"/>
          <w:szCs w:val="28"/>
        </w:rPr>
        <w:br w:type="page"/>
      </w:r>
      <w:r>
        <w:rPr>
          <w:rFonts w:hint="eastAsia" w:ascii="Times New Roman" w:hAnsi="Times New Roman"/>
          <w:b/>
          <w:sz w:val="28"/>
          <w:szCs w:val="28"/>
        </w:rPr>
        <w:t>附录4资格审查条件（关键人员最低要求）</w:t>
      </w:r>
    </w:p>
    <w:tbl>
      <w:tblPr>
        <w:tblStyle w:val="24"/>
        <w:tblW w:w="899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4"/>
        <w:gridCol w:w="7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744" w:type="dxa"/>
            <w:vAlign w:val="center"/>
          </w:tcPr>
          <w:p>
            <w:pPr>
              <w:ind w:left="240" w:hanging="240" w:hangingChars="100"/>
              <w:jc w:val="center"/>
              <w:rPr>
                <w:bCs/>
                <w:sz w:val="24"/>
              </w:rPr>
            </w:pPr>
            <w:r>
              <w:rPr>
                <w:bCs/>
                <w:sz w:val="24"/>
              </w:rPr>
              <w:t>标段</w:t>
            </w:r>
          </w:p>
        </w:tc>
        <w:tc>
          <w:tcPr>
            <w:tcW w:w="7255" w:type="dxa"/>
            <w:noWrap/>
            <w:vAlign w:val="center"/>
          </w:tcPr>
          <w:p>
            <w:pPr>
              <w:tabs>
                <w:tab w:val="left" w:pos="360"/>
              </w:tabs>
              <w:jc w:val="center"/>
              <w:rPr>
                <w:rFonts w:ascii="宋体" w:hAnsi="宋体" w:cs="宋体"/>
                <w:sz w:val="24"/>
              </w:rPr>
            </w:pPr>
            <w:r>
              <w:rPr>
                <w:rFonts w:hint="eastAsia" w:ascii="宋体" w:hAnsi="宋体" w:cs="宋体"/>
                <w:sz w:val="24"/>
              </w:rPr>
              <w:t>人员要求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4" w:hRule="atLeast"/>
          <w:jc w:val="center"/>
        </w:trPr>
        <w:tc>
          <w:tcPr>
            <w:tcW w:w="1744" w:type="dxa"/>
            <w:vAlign w:val="center"/>
          </w:tcPr>
          <w:p>
            <w:pPr>
              <w:jc w:val="center"/>
              <w:rPr>
                <w:szCs w:val="21"/>
              </w:rPr>
            </w:pPr>
            <w:r>
              <w:rPr>
                <w:color w:val="000000"/>
                <w:sz w:val="24"/>
              </w:rPr>
              <w:t>CYGS-FL</w:t>
            </w:r>
          </w:p>
        </w:tc>
        <w:tc>
          <w:tcPr>
            <w:tcW w:w="7255" w:type="dxa"/>
            <w:noWrap/>
            <w:vAlign w:val="center"/>
          </w:tcPr>
          <w:p>
            <w:pPr>
              <w:widowControl/>
              <w:tabs>
                <w:tab w:val="left" w:pos="312"/>
              </w:tabs>
              <w:spacing w:line="400" w:lineRule="exact"/>
              <w:rPr>
                <w:rFonts w:hint="eastAsia" w:ascii="宋体" w:hAnsi="宋体" w:eastAsia="宋体" w:cs="宋体"/>
                <w:sz w:val="24"/>
                <w:szCs w:val="24"/>
              </w:rPr>
            </w:pPr>
            <w:r>
              <w:rPr>
                <w:rFonts w:hint="eastAsia" w:ascii="宋体" w:hAnsi="宋体" w:eastAsia="宋体" w:cs="宋体"/>
                <w:sz w:val="24"/>
                <w:szCs w:val="24"/>
              </w:rPr>
              <w:t>比选申请人须设置项目负责人1名，并满足如下条件：</w:t>
            </w:r>
          </w:p>
          <w:p>
            <w:pPr>
              <w:widowControl/>
              <w:tabs>
                <w:tab w:val="left" w:pos="312"/>
              </w:tabs>
              <w:spacing w:line="400" w:lineRule="exact"/>
              <w:rPr>
                <w:rFonts w:hint="eastAsia" w:ascii="宋体" w:hAnsi="宋体" w:eastAsia="宋体" w:cs="宋体"/>
                <w:sz w:val="24"/>
                <w:szCs w:val="24"/>
              </w:rPr>
            </w:pPr>
            <w:r>
              <w:rPr>
                <w:rFonts w:hint="eastAsia" w:ascii="宋体" w:hAnsi="宋体" w:eastAsia="宋体" w:cs="宋体"/>
                <w:sz w:val="24"/>
                <w:szCs w:val="24"/>
              </w:rPr>
              <w:t>（1）具有中级及以上职称；</w:t>
            </w:r>
          </w:p>
          <w:p>
            <w:pPr>
              <w:widowControl/>
              <w:tabs>
                <w:tab w:val="left" w:pos="312"/>
              </w:tabs>
              <w:spacing w:line="400" w:lineRule="exact"/>
              <w:rPr>
                <w:rFonts w:hint="eastAsia" w:ascii="宋体" w:hAnsi="宋体" w:eastAsia="宋体" w:cs="宋体"/>
                <w:sz w:val="24"/>
                <w:szCs w:val="24"/>
              </w:rPr>
            </w:pPr>
            <w:r>
              <w:rPr>
                <w:rFonts w:hint="eastAsia" w:ascii="宋体" w:hAnsi="宋体" w:eastAsia="宋体" w:cs="宋体"/>
                <w:sz w:val="24"/>
                <w:szCs w:val="24"/>
              </w:rPr>
              <w:t>（2）具备雷电防护装置检测专业技术人员职业能力评价合格证书；</w:t>
            </w:r>
          </w:p>
          <w:p>
            <w:pPr>
              <w:widowControl/>
              <w:spacing w:line="360" w:lineRule="auto"/>
              <w:rPr>
                <w:rFonts w:ascii="宋体" w:hAnsi="宋体" w:cs="宋体"/>
                <w:sz w:val="24"/>
              </w:rPr>
            </w:pPr>
            <w:r>
              <w:rPr>
                <w:rFonts w:hint="eastAsia" w:ascii="宋体" w:hAnsi="宋体" w:eastAsia="宋体" w:cs="宋体"/>
                <w:sz w:val="24"/>
                <w:szCs w:val="24"/>
              </w:rPr>
              <w:t>（3）提供比选申请截止日所在月的上个月或上上个月起至少连续6个月在该比选申请人单位的养老保险缴纳凭证或社保部门出具的在该比选申请人单位参保的证明。</w:t>
            </w:r>
          </w:p>
        </w:tc>
      </w:tr>
    </w:tbl>
    <w:p>
      <w:pPr>
        <w:rPr>
          <w:szCs w:val="21"/>
        </w:rPr>
      </w:pPr>
    </w:p>
    <w:p>
      <w:pPr>
        <w:widowControl/>
        <w:jc w:val="left"/>
        <w:rPr>
          <w:rFonts w:eastAsia="黑体"/>
          <w:b/>
          <w:bCs/>
          <w:kern w:val="44"/>
          <w:sz w:val="36"/>
          <w:szCs w:val="36"/>
        </w:rPr>
      </w:pPr>
      <w:r>
        <w:rPr>
          <w:rFonts w:eastAsia="黑体"/>
          <w:sz w:val="36"/>
          <w:szCs w:val="36"/>
        </w:rPr>
        <w:br w:type="page"/>
      </w:r>
    </w:p>
    <w:p>
      <w:pPr>
        <w:pStyle w:val="5"/>
        <w:jc w:val="center"/>
        <w:rPr>
          <w:rFonts w:eastAsia="黑体"/>
          <w:sz w:val="36"/>
          <w:szCs w:val="36"/>
        </w:rPr>
      </w:pPr>
      <w:bookmarkStart w:id="36" w:name="_Toc202215192"/>
      <w:r>
        <w:rPr>
          <w:rFonts w:eastAsia="黑体"/>
          <w:sz w:val="36"/>
          <w:szCs w:val="36"/>
        </w:rPr>
        <w:t>第三章</w:t>
      </w:r>
      <w:bookmarkStart w:id="37" w:name="_Toc28794"/>
      <w:r>
        <w:rPr>
          <w:rFonts w:hint="eastAsia" w:eastAsia="黑体"/>
          <w:sz w:val="36"/>
          <w:szCs w:val="36"/>
          <w:lang w:val="en-US" w:eastAsia="zh-CN"/>
        </w:rPr>
        <w:t xml:space="preserve">  </w:t>
      </w:r>
      <w:r>
        <w:rPr>
          <w:rFonts w:eastAsia="黑体"/>
          <w:sz w:val="36"/>
          <w:szCs w:val="36"/>
        </w:rPr>
        <w:t>评审办法</w:t>
      </w:r>
      <w:bookmarkEnd w:id="36"/>
      <w:bookmarkEnd w:id="37"/>
    </w:p>
    <w:p>
      <w:pPr>
        <w:spacing w:after="120"/>
        <w:jc w:val="center"/>
        <w:rPr>
          <w:b/>
          <w:sz w:val="32"/>
          <w:szCs w:val="32"/>
        </w:rPr>
      </w:pPr>
      <w:r>
        <w:rPr>
          <w:b/>
          <w:sz w:val="32"/>
          <w:szCs w:val="32"/>
        </w:rPr>
        <w:t>评审办法前附表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85" w:type="dxa"/>
          <w:left w:w="108" w:type="dxa"/>
          <w:bottom w:w="85" w:type="dxa"/>
          <w:right w:w="108" w:type="dxa"/>
        </w:tblCellMar>
      </w:tblPr>
      <w:tblGrid>
        <w:gridCol w:w="672"/>
        <w:gridCol w:w="483"/>
        <w:gridCol w:w="3474"/>
        <w:gridCol w:w="38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tblHeader/>
          <w:jc w:val="center"/>
        </w:trPr>
        <w:tc>
          <w:tcPr>
            <w:tcW w:w="877" w:type="pct"/>
            <w:gridSpan w:val="2"/>
            <w:noWrap/>
            <w:vAlign w:val="center"/>
          </w:tcPr>
          <w:p>
            <w:pPr>
              <w:adjustRightInd w:val="0"/>
              <w:snapToGrid w:val="0"/>
              <w:jc w:val="center"/>
              <w:rPr>
                <w:b/>
                <w:color w:val="000000"/>
                <w:szCs w:val="21"/>
              </w:rPr>
            </w:pPr>
            <w:r>
              <w:rPr>
                <w:b/>
                <w:color w:val="000000"/>
                <w:szCs w:val="21"/>
              </w:rPr>
              <w:t>条款号</w:t>
            </w:r>
          </w:p>
        </w:tc>
        <w:tc>
          <w:tcPr>
            <w:tcW w:w="4122" w:type="pct"/>
            <w:gridSpan w:val="2"/>
            <w:noWrap/>
            <w:vAlign w:val="center"/>
          </w:tcPr>
          <w:p>
            <w:pPr>
              <w:adjustRightInd w:val="0"/>
              <w:snapToGrid w:val="0"/>
              <w:jc w:val="center"/>
              <w:rPr>
                <w:b/>
                <w:color w:val="000000"/>
                <w:szCs w:val="21"/>
              </w:rPr>
            </w:pPr>
            <w:r>
              <w:rPr>
                <w:b/>
                <w:color w:val="000000"/>
                <w:szCs w:val="21"/>
              </w:rPr>
              <w:t>评审因素与评审标准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noWrap/>
            <w:vAlign w:val="center"/>
          </w:tcPr>
          <w:p>
            <w:pPr>
              <w:adjustRightInd w:val="0"/>
              <w:snapToGrid w:val="0"/>
              <w:jc w:val="center"/>
              <w:rPr>
                <w:color w:val="000000"/>
                <w:szCs w:val="21"/>
              </w:rPr>
            </w:pPr>
            <w:r>
              <w:rPr>
                <w:color w:val="000000"/>
                <w:szCs w:val="21"/>
              </w:rPr>
              <w:t>1</w:t>
            </w:r>
          </w:p>
        </w:tc>
        <w:tc>
          <w:tcPr>
            <w:tcW w:w="438" w:type="pct"/>
            <w:noWrap/>
            <w:vAlign w:val="center"/>
          </w:tcPr>
          <w:p>
            <w:pPr>
              <w:adjustRightInd w:val="0"/>
              <w:snapToGrid w:val="0"/>
              <w:jc w:val="center"/>
              <w:rPr>
                <w:color w:val="000000"/>
                <w:szCs w:val="21"/>
              </w:rPr>
            </w:pPr>
            <w:r>
              <w:rPr>
                <w:color w:val="000000"/>
                <w:szCs w:val="21"/>
              </w:rPr>
              <w:t>评标</w:t>
            </w:r>
          </w:p>
          <w:p>
            <w:pPr>
              <w:adjustRightInd w:val="0"/>
              <w:snapToGrid w:val="0"/>
              <w:jc w:val="center"/>
              <w:rPr>
                <w:color w:val="000000"/>
                <w:szCs w:val="21"/>
              </w:rPr>
            </w:pPr>
            <w:r>
              <w:rPr>
                <w:color w:val="000000"/>
                <w:szCs w:val="21"/>
              </w:rPr>
              <w:t>方法</w:t>
            </w:r>
          </w:p>
        </w:tc>
        <w:tc>
          <w:tcPr>
            <w:tcW w:w="4122" w:type="pct"/>
            <w:gridSpan w:val="2"/>
            <w:noWrap/>
            <w:vAlign w:val="center"/>
          </w:tcPr>
          <w:p>
            <w:pPr>
              <w:adjustRightInd w:val="0"/>
              <w:snapToGrid w:val="0"/>
              <w:rPr>
                <w:color w:val="000000"/>
                <w:szCs w:val="21"/>
              </w:rPr>
            </w:pPr>
            <w:r>
              <w:rPr>
                <w:color w:val="000000"/>
                <w:szCs w:val="21"/>
              </w:rPr>
              <w:t>1.本次评标采用经评审的最低投标价法，经评审比选申请报价相等时，评标委员会依次按照以下优先顺序推荐中选候选人：</w:t>
            </w:r>
          </w:p>
          <w:p>
            <w:pPr>
              <w:adjustRightInd w:val="0"/>
              <w:snapToGrid w:val="0"/>
              <w:rPr>
                <w:color w:val="000000"/>
                <w:szCs w:val="21"/>
              </w:rPr>
            </w:pPr>
            <w:r>
              <w:rPr>
                <w:color w:val="000000"/>
                <w:szCs w:val="21"/>
              </w:rPr>
              <w:t>（1）当出现上述情况以外的情形，则按有利于比选人的原则进行推荐。</w:t>
            </w:r>
          </w:p>
          <w:p>
            <w:pPr>
              <w:widowControl/>
              <w:adjustRightInd w:val="0"/>
              <w:snapToGrid w:val="0"/>
              <w:rPr>
                <w:color w:val="000000"/>
                <w:szCs w:val="21"/>
              </w:rPr>
            </w:pPr>
            <w:r>
              <w:rPr>
                <w:color w:val="000000"/>
                <w:szCs w:val="21"/>
              </w:rPr>
              <w:t>2.评标委员会按最终的排序推荐前3名中选候选人（若不足3名，则按相应数量推荐）。</w:t>
            </w:r>
          </w:p>
          <w:p>
            <w:pPr>
              <w:adjustRightInd w:val="0"/>
              <w:snapToGrid w:val="0"/>
              <w:rPr>
                <w:color w:val="000000"/>
                <w:szCs w:val="21"/>
              </w:rPr>
            </w:pPr>
            <w:r>
              <w:rPr>
                <w:color w:val="000000"/>
                <w:szCs w:val="21"/>
              </w:rPr>
              <w:t>3.在评标过程中，如有效比选申请不足3个，评标委员会应当对有效比选申请是否仍具有竞争性进行评审。评标委员会一致认为有效比选申请仍具有竞争性的，应当继续推荐中选候选人，并在评标报告中予以说明。评标委员会对有效比选申请是否仍具有竞争性无法达成一致意见的，应当否决全部比选申请，并在评标报告中做出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restart"/>
            <w:noWrap/>
            <w:vAlign w:val="center"/>
          </w:tcPr>
          <w:p>
            <w:pPr>
              <w:adjustRightInd w:val="0"/>
              <w:snapToGrid w:val="0"/>
              <w:jc w:val="center"/>
              <w:rPr>
                <w:color w:val="000000"/>
                <w:szCs w:val="21"/>
              </w:rPr>
            </w:pPr>
            <w:r>
              <w:rPr>
                <w:color w:val="000000"/>
                <w:szCs w:val="21"/>
              </w:rPr>
              <w:t>2.1</w:t>
            </w:r>
          </w:p>
          <w:p>
            <w:pPr>
              <w:adjustRightInd w:val="0"/>
              <w:snapToGrid w:val="0"/>
              <w:jc w:val="center"/>
              <w:rPr>
                <w:color w:val="000000"/>
                <w:szCs w:val="21"/>
              </w:rPr>
            </w:pPr>
            <w:r>
              <w:rPr>
                <w:color w:val="000000"/>
                <w:szCs w:val="21"/>
              </w:rPr>
              <w:t xml:space="preserve">初步评审标准  </w:t>
            </w:r>
          </w:p>
        </w:tc>
        <w:tc>
          <w:tcPr>
            <w:tcW w:w="438" w:type="pct"/>
            <w:vMerge w:val="restart"/>
            <w:noWrap/>
            <w:vAlign w:val="center"/>
          </w:tcPr>
          <w:p>
            <w:pPr>
              <w:adjustRightInd w:val="0"/>
              <w:snapToGrid w:val="0"/>
              <w:jc w:val="center"/>
              <w:rPr>
                <w:color w:val="000000"/>
                <w:szCs w:val="21"/>
              </w:rPr>
            </w:pPr>
            <w:r>
              <w:rPr>
                <w:color w:val="000000"/>
                <w:szCs w:val="21"/>
              </w:rPr>
              <w:t>2.1.1</w:t>
            </w:r>
          </w:p>
          <w:p>
            <w:pPr>
              <w:adjustRightInd w:val="0"/>
              <w:snapToGrid w:val="0"/>
              <w:jc w:val="center"/>
              <w:rPr>
                <w:color w:val="000000"/>
                <w:szCs w:val="21"/>
              </w:rPr>
            </w:pPr>
            <w:r>
              <w:rPr>
                <w:color w:val="000000"/>
                <w:szCs w:val="21"/>
              </w:rPr>
              <w:t>形式评审标准</w:t>
            </w:r>
          </w:p>
        </w:tc>
        <w:tc>
          <w:tcPr>
            <w:tcW w:w="1407" w:type="pct"/>
            <w:noWrap/>
            <w:vAlign w:val="center"/>
          </w:tcPr>
          <w:p>
            <w:pPr>
              <w:adjustRightInd w:val="0"/>
              <w:snapToGrid w:val="0"/>
              <w:rPr>
                <w:color w:val="000000"/>
                <w:szCs w:val="21"/>
              </w:rPr>
            </w:pPr>
            <w:r>
              <w:rPr>
                <w:color w:val="000000"/>
                <w:szCs w:val="21"/>
              </w:rPr>
              <w:t>1．比选申请文件格式按照比选文件规定的格式、内容填写</w:t>
            </w:r>
          </w:p>
        </w:tc>
        <w:tc>
          <w:tcPr>
            <w:tcW w:w="2714" w:type="pct"/>
            <w:noWrap/>
            <w:vAlign w:val="center"/>
          </w:tcPr>
          <w:p>
            <w:pPr>
              <w:adjustRightInd w:val="0"/>
              <w:snapToGrid w:val="0"/>
              <w:rPr>
                <w:color w:val="000000"/>
                <w:szCs w:val="21"/>
              </w:rPr>
            </w:pPr>
            <w:r>
              <w:rPr>
                <w:color w:val="000000"/>
                <w:szCs w:val="21"/>
              </w:rPr>
              <w:t>（1）比选申请文件按比选文件的规定填报；</w:t>
            </w:r>
          </w:p>
          <w:p>
            <w:pPr>
              <w:adjustRightInd w:val="0"/>
              <w:snapToGrid w:val="0"/>
              <w:rPr>
                <w:color w:val="000000"/>
                <w:szCs w:val="21"/>
              </w:rPr>
            </w:pPr>
            <w:r>
              <w:rPr>
                <w:color w:val="000000"/>
                <w:szCs w:val="21"/>
              </w:rPr>
              <w:t>（2）比选申请文件组成齐全完整，内容均按规定填写。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1407" w:type="pct"/>
            <w:noWrap/>
            <w:vAlign w:val="center"/>
          </w:tcPr>
          <w:p>
            <w:pPr>
              <w:adjustRightInd w:val="0"/>
              <w:snapToGrid w:val="0"/>
              <w:rPr>
                <w:color w:val="000000"/>
                <w:szCs w:val="21"/>
              </w:rPr>
            </w:pPr>
            <w:r>
              <w:rPr>
                <w:color w:val="000000"/>
                <w:szCs w:val="21"/>
              </w:rPr>
              <w:t>2．比选申请文件上法定代表人或其委托代理人的签字、比选申请人的单位章盖章齐全，符合比选文件规定</w:t>
            </w:r>
          </w:p>
        </w:tc>
        <w:tc>
          <w:tcPr>
            <w:tcW w:w="2714" w:type="pct"/>
            <w:noWrap/>
            <w:vAlign w:val="center"/>
          </w:tcPr>
          <w:p>
            <w:pPr>
              <w:pStyle w:val="14"/>
              <w:adjustRightInd w:val="0"/>
              <w:snapToGrid w:val="0"/>
              <w:rPr>
                <w:rFonts w:ascii="Times New Roman" w:hAnsi="Times New Roman"/>
                <w:color w:val="000000"/>
                <w:szCs w:val="21"/>
              </w:rPr>
            </w:pPr>
            <w:r>
              <w:rPr>
                <w:rFonts w:ascii="Times New Roman" w:hAnsi="Times New Roman"/>
                <w:color w:val="000000"/>
                <w:szCs w:val="21"/>
              </w:rPr>
              <w:t>（1）比选申请函、授权委托书（如有）或法定代表人身份证明及比选申请文件格式规定要求签署的地方，比选申请人的法定代表人或其委托代理人均按照对应人员签署姓名，未使用印章、签名章或电子制版章代替签名；</w:t>
            </w:r>
          </w:p>
          <w:p>
            <w:pPr>
              <w:pStyle w:val="14"/>
              <w:adjustRightInd w:val="0"/>
              <w:snapToGrid w:val="0"/>
              <w:rPr>
                <w:rFonts w:ascii="Times New Roman" w:hAnsi="Times New Roman"/>
                <w:color w:val="000000"/>
                <w:szCs w:val="21"/>
              </w:rPr>
            </w:pPr>
            <w:r>
              <w:rPr>
                <w:rFonts w:ascii="Times New Roman" w:hAnsi="Times New Roman"/>
                <w:color w:val="000000"/>
                <w:szCs w:val="21"/>
              </w:rPr>
              <w:t>（2）比选申请函、授权委托书（如有）或法定代表人身份证明及比选申请文件格式规定要求加盖比选申请人单位章的地方均加盖比选申请人单位章，单位章内容与其营业执照名称一致，且未使用专用印章代替单位章；</w:t>
            </w:r>
          </w:p>
          <w:p>
            <w:pPr>
              <w:numPr>
                <w:ilvl w:val="0"/>
                <w:numId w:val="4"/>
              </w:numPr>
              <w:adjustRightInd w:val="0"/>
              <w:snapToGrid w:val="0"/>
              <w:jc w:val="left"/>
              <w:rPr>
                <w:color w:val="000000"/>
                <w:szCs w:val="21"/>
              </w:rPr>
            </w:pPr>
            <w:r>
              <w:rPr>
                <w:color w:val="000000"/>
                <w:szCs w:val="21"/>
              </w:rPr>
              <w:t>比选申请文件中有改动之处均加盖比选申请人单位章或由比选申请人的法定代表人或其委托代理人签字确认。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1407" w:type="pct"/>
            <w:noWrap/>
            <w:vAlign w:val="center"/>
          </w:tcPr>
          <w:p>
            <w:pPr>
              <w:adjustRightInd w:val="0"/>
              <w:snapToGrid w:val="0"/>
              <w:rPr>
                <w:color w:val="000000"/>
                <w:szCs w:val="21"/>
              </w:rPr>
            </w:pPr>
            <w:r>
              <w:rPr>
                <w:color w:val="000000"/>
                <w:szCs w:val="21"/>
              </w:rPr>
              <w:t>3．如由比选申请人法定代表人的委托代理人签署比选申请文件的，提供的相关证明材料符合比选申请文件要求（本款适用于如果比选申请文件由比选申请人法定代表人的委托代理人签署的情形）</w:t>
            </w:r>
          </w:p>
        </w:tc>
        <w:tc>
          <w:tcPr>
            <w:tcW w:w="2714" w:type="pct"/>
            <w:noWrap/>
            <w:vAlign w:val="center"/>
          </w:tcPr>
          <w:p>
            <w:pPr>
              <w:pStyle w:val="14"/>
              <w:adjustRightInd w:val="0"/>
              <w:snapToGrid w:val="0"/>
              <w:rPr>
                <w:rFonts w:ascii="Times New Roman" w:hAnsi="Times New Roman"/>
                <w:color w:val="000000"/>
                <w:szCs w:val="21"/>
              </w:rPr>
            </w:pPr>
            <w:r>
              <w:rPr>
                <w:rFonts w:ascii="Times New Roman" w:hAnsi="Times New Roman"/>
                <w:color w:val="000000"/>
                <w:szCs w:val="21"/>
              </w:rPr>
              <w:t>（1）提交了授权委托书；</w:t>
            </w:r>
          </w:p>
          <w:p>
            <w:pPr>
              <w:pStyle w:val="14"/>
              <w:adjustRightInd w:val="0"/>
              <w:snapToGrid w:val="0"/>
              <w:rPr>
                <w:rFonts w:ascii="Times New Roman" w:hAnsi="Times New Roman"/>
                <w:color w:val="000000"/>
                <w:szCs w:val="21"/>
              </w:rPr>
            </w:pPr>
            <w:r>
              <w:rPr>
                <w:rFonts w:ascii="Times New Roman" w:hAnsi="Times New Roman"/>
                <w:color w:val="000000"/>
                <w:szCs w:val="21"/>
              </w:rPr>
              <w:t>（2）法定代表人和委托代理人均在授权委托书上对应人员处签名，未使用印章、签名章或其他电子制版章代替签名；</w:t>
            </w:r>
          </w:p>
          <w:p>
            <w:pPr>
              <w:pStyle w:val="14"/>
              <w:adjustRightInd w:val="0"/>
              <w:snapToGrid w:val="0"/>
              <w:rPr>
                <w:rFonts w:ascii="Times New Roman" w:hAnsi="Times New Roman"/>
                <w:bCs/>
                <w:color w:val="000000"/>
                <w:szCs w:val="21"/>
              </w:rPr>
            </w:pPr>
            <w:r>
              <w:rPr>
                <w:rFonts w:ascii="Times New Roman" w:hAnsi="Times New Roman"/>
                <w:color w:val="000000"/>
                <w:szCs w:val="21"/>
              </w:rPr>
              <w:t>（3）授权委托书中委托代理人只能是一个人，且不能再次授权委托他人；</w:t>
            </w:r>
          </w:p>
          <w:p>
            <w:pPr>
              <w:pStyle w:val="14"/>
              <w:adjustRightInd w:val="0"/>
              <w:snapToGrid w:val="0"/>
              <w:rPr>
                <w:rFonts w:ascii="Times New Roman" w:hAnsi="Times New Roman"/>
                <w:color w:val="000000"/>
                <w:szCs w:val="21"/>
              </w:rPr>
            </w:pPr>
            <w:r>
              <w:rPr>
                <w:rFonts w:ascii="Times New Roman" w:hAnsi="Times New Roman"/>
                <w:color w:val="000000"/>
                <w:szCs w:val="21"/>
              </w:rPr>
              <w:t>（4）授权委托书后应附法定代表人和委托代理人身份证扫描件，且身份证扫描件应清晰、有效；授权委托书上应加盖比选申请人单位章。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1407" w:type="pct"/>
            <w:noWrap/>
            <w:vAlign w:val="center"/>
          </w:tcPr>
          <w:p>
            <w:pPr>
              <w:adjustRightInd w:val="0"/>
              <w:snapToGrid w:val="0"/>
              <w:rPr>
                <w:color w:val="000000"/>
                <w:szCs w:val="21"/>
              </w:rPr>
            </w:pPr>
            <w:r>
              <w:rPr>
                <w:color w:val="000000"/>
                <w:szCs w:val="21"/>
              </w:rPr>
              <w:t>4．比选申请人法定代表人若亲自签署比选申请文件的，提供的相关证明材料符合比选文件要求（本款适用于如果比选申请文件由比选申请人法定代表人签署的情形）</w:t>
            </w:r>
          </w:p>
        </w:tc>
        <w:tc>
          <w:tcPr>
            <w:tcW w:w="2714" w:type="pct"/>
            <w:noWrap/>
            <w:vAlign w:val="center"/>
          </w:tcPr>
          <w:p>
            <w:pPr>
              <w:adjustRightInd w:val="0"/>
              <w:snapToGrid w:val="0"/>
              <w:rPr>
                <w:color w:val="000000"/>
                <w:szCs w:val="21"/>
              </w:rPr>
            </w:pPr>
            <w:r>
              <w:rPr>
                <w:color w:val="000000"/>
                <w:szCs w:val="21"/>
              </w:rPr>
              <w:t>（1）提供法定代表人身份证明；</w:t>
            </w:r>
          </w:p>
          <w:p>
            <w:pPr>
              <w:adjustRightInd w:val="0"/>
              <w:snapToGrid w:val="0"/>
              <w:rPr>
                <w:color w:val="000000"/>
                <w:szCs w:val="21"/>
              </w:rPr>
            </w:pPr>
            <w:r>
              <w:rPr>
                <w:color w:val="000000"/>
                <w:szCs w:val="21"/>
              </w:rPr>
              <w:t>（2）法定代表人在法定代表人身份证明上签名，未使用印章、签名章或其他电子制版章代替签名；</w:t>
            </w:r>
          </w:p>
          <w:p>
            <w:pPr>
              <w:adjustRightInd w:val="0"/>
              <w:snapToGrid w:val="0"/>
              <w:rPr>
                <w:color w:val="000000"/>
                <w:szCs w:val="21"/>
              </w:rPr>
            </w:pPr>
            <w:r>
              <w:rPr>
                <w:color w:val="000000"/>
                <w:szCs w:val="21"/>
              </w:rPr>
              <w:t>（3）法定代表人身份证明后后应附法定代表人身份证扫描件，且身份证扫描件应清晰、有效；法定代表人身份证明应加盖比选申请人单位章。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3232"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1407" w:type="pct"/>
            <w:noWrap/>
            <w:vAlign w:val="center"/>
          </w:tcPr>
          <w:p>
            <w:pPr>
              <w:adjustRightInd w:val="0"/>
              <w:snapToGrid w:val="0"/>
              <w:rPr>
                <w:color w:val="000000"/>
                <w:kern w:val="0"/>
                <w:szCs w:val="21"/>
              </w:rPr>
            </w:pPr>
            <w:r>
              <w:rPr>
                <w:color w:val="000000"/>
                <w:szCs w:val="21"/>
              </w:rPr>
              <w:t>5．</w:t>
            </w:r>
            <w:bookmarkStart w:id="38" w:name="OLE_LINK2"/>
            <w:r>
              <w:rPr>
                <w:color w:val="000000"/>
                <w:szCs w:val="21"/>
              </w:rPr>
              <w:t>比选申请</w:t>
            </w:r>
            <w:bookmarkEnd w:id="38"/>
            <w:r>
              <w:rPr>
                <w:color w:val="000000"/>
                <w:szCs w:val="21"/>
              </w:rPr>
              <w:t>文件应符合的其他规定</w:t>
            </w:r>
          </w:p>
        </w:tc>
        <w:tc>
          <w:tcPr>
            <w:tcW w:w="2714" w:type="pct"/>
            <w:noWrap/>
            <w:vAlign w:val="center"/>
          </w:tcPr>
          <w:p>
            <w:pPr>
              <w:numPr>
                <w:ilvl w:val="0"/>
                <w:numId w:val="5"/>
              </w:numPr>
              <w:adjustRightInd w:val="0"/>
              <w:snapToGrid w:val="0"/>
              <w:ind w:left="199" w:hanging="199" w:hangingChars="95"/>
              <w:jc w:val="left"/>
              <w:rPr>
                <w:color w:val="000000"/>
                <w:szCs w:val="21"/>
              </w:rPr>
            </w:pPr>
            <w:r>
              <w:rPr>
                <w:color w:val="000000"/>
                <w:szCs w:val="21"/>
              </w:rPr>
              <w:t>比选申请文件没有对比选人的权利提出削弱性或限制性要求，没有对比选申请人的责任和义务提出实质性修改；</w:t>
            </w:r>
          </w:p>
          <w:p>
            <w:pPr>
              <w:numPr>
                <w:ilvl w:val="0"/>
                <w:numId w:val="5"/>
              </w:numPr>
              <w:adjustRightInd w:val="0"/>
              <w:snapToGrid w:val="0"/>
              <w:ind w:left="199" w:hanging="199" w:hangingChars="95"/>
              <w:jc w:val="left"/>
              <w:rPr>
                <w:color w:val="000000"/>
                <w:szCs w:val="21"/>
              </w:rPr>
            </w:pPr>
            <w:r>
              <w:rPr>
                <w:color w:val="000000"/>
                <w:szCs w:val="21"/>
              </w:rPr>
              <w:t>同一比选申请人对同一标段未提交两个以上不同的比选申请文件；</w:t>
            </w:r>
          </w:p>
          <w:p>
            <w:pPr>
              <w:numPr>
                <w:ilvl w:val="0"/>
                <w:numId w:val="5"/>
              </w:numPr>
              <w:ind w:left="199" w:hanging="199" w:hangingChars="95"/>
              <w:rPr>
                <w:color w:val="000000"/>
                <w:szCs w:val="21"/>
              </w:rPr>
            </w:pPr>
            <w:r>
              <w:rPr>
                <w:color w:val="000000"/>
                <w:szCs w:val="21"/>
              </w:rPr>
              <w:t>外层封套上标注的所投项目、标段名称与内装比选申请文件所投项目、标段名称一致；</w:t>
            </w:r>
          </w:p>
          <w:p>
            <w:pPr>
              <w:numPr>
                <w:ilvl w:val="0"/>
                <w:numId w:val="5"/>
              </w:numPr>
              <w:ind w:left="199" w:hanging="199" w:hangingChars="95"/>
              <w:rPr>
                <w:color w:val="000000"/>
                <w:szCs w:val="21"/>
              </w:rPr>
            </w:pPr>
            <w:r>
              <w:rPr>
                <w:color w:val="000000"/>
                <w:szCs w:val="21"/>
              </w:rPr>
              <w:t>比选申请文件未附有比选人不能接受的其他条件；</w:t>
            </w:r>
          </w:p>
          <w:p>
            <w:pPr>
              <w:numPr>
                <w:ilvl w:val="0"/>
                <w:numId w:val="5"/>
              </w:numPr>
              <w:adjustRightInd w:val="0"/>
              <w:snapToGrid w:val="0"/>
              <w:ind w:left="199" w:hanging="199" w:hangingChars="95"/>
              <w:jc w:val="left"/>
              <w:rPr>
                <w:color w:val="000000"/>
                <w:szCs w:val="21"/>
              </w:rPr>
            </w:pPr>
            <w:r>
              <w:rPr>
                <w:color w:val="000000"/>
                <w:szCs w:val="21"/>
              </w:rPr>
              <w:t>比选申请人未提供虚假资料。</w:t>
            </w:r>
          </w:p>
          <w:p>
            <w:pPr>
              <w:numPr>
                <w:ilvl w:val="255"/>
                <w:numId w:val="0"/>
              </w:numPr>
              <w:adjustRightInd w:val="0"/>
              <w:snapToGrid w:val="0"/>
              <w:ind w:left="-199" w:leftChars="-95"/>
              <w:jc w:val="left"/>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restart"/>
            <w:noWrap/>
            <w:vAlign w:val="center"/>
          </w:tcPr>
          <w:p>
            <w:pPr>
              <w:adjustRightInd w:val="0"/>
              <w:snapToGrid w:val="0"/>
              <w:jc w:val="center"/>
              <w:rPr>
                <w:color w:val="000000"/>
                <w:szCs w:val="21"/>
              </w:rPr>
            </w:pPr>
            <w:r>
              <w:rPr>
                <w:color w:val="000000"/>
                <w:szCs w:val="21"/>
              </w:rPr>
              <w:t>2.1</w:t>
            </w:r>
          </w:p>
          <w:p>
            <w:pPr>
              <w:adjustRightInd w:val="0"/>
              <w:snapToGrid w:val="0"/>
              <w:jc w:val="center"/>
              <w:rPr>
                <w:color w:val="000000"/>
                <w:szCs w:val="21"/>
              </w:rPr>
            </w:pPr>
            <w:r>
              <w:rPr>
                <w:color w:val="000000"/>
                <w:szCs w:val="21"/>
              </w:rPr>
              <w:t xml:space="preserve">初步评审标准      </w:t>
            </w:r>
          </w:p>
        </w:tc>
        <w:tc>
          <w:tcPr>
            <w:tcW w:w="438" w:type="pct"/>
            <w:vMerge w:val="restart"/>
            <w:noWrap/>
            <w:vAlign w:val="center"/>
          </w:tcPr>
          <w:p>
            <w:pPr>
              <w:adjustRightInd w:val="0"/>
              <w:snapToGrid w:val="0"/>
              <w:jc w:val="center"/>
              <w:rPr>
                <w:color w:val="000000"/>
                <w:szCs w:val="21"/>
              </w:rPr>
            </w:pPr>
            <w:r>
              <w:rPr>
                <w:color w:val="000000"/>
                <w:szCs w:val="21"/>
              </w:rPr>
              <w:t>2.1.2</w:t>
            </w:r>
          </w:p>
          <w:p>
            <w:pPr>
              <w:adjustRightInd w:val="0"/>
              <w:snapToGrid w:val="0"/>
              <w:jc w:val="center"/>
              <w:rPr>
                <w:color w:val="000000"/>
                <w:szCs w:val="21"/>
              </w:rPr>
            </w:pPr>
            <w:r>
              <w:rPr>
                <w:color w:val="000000"/>
                <w:szCs w:val="21"/>
              </w:rPr>
              <w:t>资格评审标准</w:t>
            </w:r>
          </w:p>
        </w:tc>
        <w:tc>
          <w:tcPr>
            <w:tcW w:w="1407" w:type="pct"/>
            <w:noWrap/>
            <w:vAlign w:val="center"/>
          </w:tcPr>
          <w:p>
            <w:pPr>
              <w:adjustRightInd w:val="0"/>
              <w:snapToGrid w:val="0"/>
              <w:rPr>
                <w:strike/>
                <w:color w:val="000000"/>
                <w:kern w:val="0"/>
                <w:szCs w:val="21"/>
              </w:rPr>
            </w:pPr>
            <w:r>
              <w:rPr>
                <w:color w:val="000000"/>
                <w:kern w:val="0"/>
                <w:szCs w:val="21"/>
              </w:rPr>
              <w:t>1</w:t>
            </w:r>
            <w:r>
              <w:rPr>
                <w:rFonts w:hint="eastAsia"/>
                <w:color w:val="000000"/>
                <w:kern w:val="0"/>
                <w:szCs w:val="21"/>
              </w:rPr>
              <w:t>.</w:t>
            </w:r>
            <w:r>
              <w:rPr>
                <w:color w:val="000000"/>
                <w:szCs w:val="21"/>
              </w:rPr>
              <w:t>比选申请</w:t>
            </w:r>
            <w:r>
              <w:rPr>
                <w:color w:val="000000"/>
                <w:kern w:val="0"/>
                <w:szCs w:val="21"/>
              </w:rPr>
              <w:t>人</w:t>
            </w:r>
            <w:r>
              <w:rPr>
                <w:color w:val="000000"/>
                <w:szCs w:val="21"/>
              </w:rPr>
              <w:t>资质要求符合第二章</w:t>
            </w:r>
            <w:r>
              <w:rPr>
                <w:rFonts w:hint="eastAsia"/>
                <w:color w:val="000000"/>
                <w:szCs w:val="21"/>
              </w:rPr>
              <w:t>“</w:t>
            </w:r>
            <w:r>
              <w:rPr>
                <w:color w:val="000000"/>
                <w:szCs w:val="21"/>
              </w:rPr>
              <w:t>比选申请人须知</w:t>
            </w:r>
            <w:r>
              <w:rPr>
                <w:rFonts w:hint="eastAsia"/>
                <w:color w:val="000000"/>
                <w:szCs w:val="21"/>
              </w:rPr>
              <w:t>”</w:t>
            </w:r>
            <w:r>
              <w:rPr>
                <w:color w:val="000000"/>
                <w:szCs w:val="21"/>
              </w:rPr>
              <w:t>前附表第7项规定</w:t>
            </w:r>
          </w:p>
        </w:tc>
        <w:tc>
          <w:tcPr>
            <w:tcW w:w="2714" w:type="pct"/>
            <w:noWrap/>
            <w:vAlign w:val="center"/>
          </w:tcPr>
          <w:p>
            <w:pPr>
              <w:adjustRightInd w:val="0"/>
              <w:snapToGrid w:val="0"/>
              <w:rPr>
                <w:strike/>
                <w:color w:val="000000"/>
                <w:szCs w:val="21"/>
              </w:rPr>
            </w:pPr>
            <w:r>
              <w:rPr>
                <w:color w:val="000000"/>
                <w:szCs w:val="21"/>
              </w:rPr>
              <w:t>（1）比选申请人按照第六章</w:t>
            </w:r>
            <w:r>
              <w:rPr>
                <w:rFonts w:hint="eastAsia"/>
                <w:color w:val="000000"/>
                <w:szCs w:val="21"/>
              </w:rPr>
              <w:t>“</w:t>
            </w:r>
            <w:r>
              <w:rPr>
                <w:color w:val="000000"/>
                <w:szCs w:val="21"/>
              </w:rPr>
              <w:t>比选申请文件格式</w:t>
            </w:r>
            <w:r>
              <w:rPr>
                <w:rFonts w:hint="eastAsia"/>
                <w:color w:val="000000"/>
                <w:szCs w:val="21"/>
              </w:rPr>
              <w:t>”“</w:t>
            </w:r>
            <w:r>
              <w:rPr>
                <w:color w:val="000000"/>
                <w:szCs w:val="21"/>
              </w:rPr>
              <w:t>资格审查资料（一）比选申请人基本情况表</w:t>
            </w:r>
            <w:r>
              <w:rPr>
                <w:rFonts w:hint="eastAsia"/>
                <w:color w:val="000000"/>
                <w:szCs w:val="21"/>
              </w:rPr>
              <w:t>”</w:t>
            </w:r>
            <w:r>
              <w:rPr>
                <w:color w:val="000000"/>
                <w:szCs w:val="21"/>
              </w:rPr>
              <w:t>的附件要求提供了有效证明材料的扫描件。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1407" w:type="pct"/>
            <w:noWrap/>
            <w:vAlign w:val="center"/>
          </w:tcPr>
          <w:p>
            <w:pPr>
              <w:adjustRightInd w:val="0"/>
              <w:snapToGrid w:val="0"/>
              <w:rPr>
                <w:color w:val="000000"/>
                <w:kern w:val="0"/>
                <w:szCs w:val="21"/>
              </w:rPr>
            </w:pPr>
            <w:r>
              <w:rPr>
                <w:color w:val="000000"/>
                <w:kern w:val="0"/>
                <w:szCs w:val="21"/>
              </w:rPr>
              <w:t>2.比选申请人关键人员符合第二章</w:t>
            </w:r>
            <w:r>
              <w:rPr>
                <w:rFonts w:hint="eastAsia"/>
                <w:color w:val="000000"/>
                <w:kern w:val="0"/>
                <w:szCs w:val="21"/>
              </w:rPr>
              <w:t>“</w:t>
            </w:r>
            <w:r>
              <w:rPr>
                <w:color w:val="000000"/>
                <w:kern w:val="0"/>
                <w:szCs w:val="21"/>
              </w:rPr>
              <w:t>比选申请人须知</w:t>
            </w:r>
            <w:r>
              <w:rPr>
                <w:rFonts w:hint="eastAsia"/>
                <w:color w:val="000000"/>
                <w:kern w:val="0"/>
                <w:szCs w:val="21"/>
              </w:rPr>
              <w:t>”</w:t>
            </w:r>
            <w:r>
              <w:rPr>
                <w:color w:val="000000"/>
                <w:kern w:val="0"/>
                <w:szCs w:val="21"/>
              </w:rPr>
              <w:t>前附表第7项目规定</w:t>
            </w:r>
          </w:p>
        </w:tc>
        <w:tc>
          <w:tcPr>
            <w:tcW w:w="2714" w:type="pct"/>
            <w:noWrap/>
            <w:vAlign w:val="center"/>
          </w:tcPr>
          <w:p>
            <w:pPr>
              <w:widowControl/>
              <w:adjustRightInd w:val="0"/>
              <w:snapToGrid w:val="0"/>
              <w:rPr>
                <w:color w:val="000000"/>
                <w:szCs w:val="21"/>
              </w:rPr>
            </w:pPr>
            <w:r>
              <w:rPr>
                <w:color w:val="000000"/>
                <w:szCs w:val="21"/>
              </w:rPr>
              <w:t>（1）比选申请人的类似项目业绩符合第二章</w:t>
            </w:r>
            <w:r>
              <w:rPr>
                <w:rFonts w:hint="eastAsia"/>
                <w:color w:val="000000"/>
                <w:szCs w:val="21"/>
              </w:rPr>
              <w:t>“</w:t>
            </w:r>
            <w:r>
              <w:rPr>
                <w:color w:val="000000"/>
                <w:szCs w:val="21"/>
              </w:rPr>
              <w:t>比选申请人须知</w:t>
            </w:r>
            <w:r>
              <w:rPr>
                <w:rFonts w:hint="eastAsia"/>
                <w:color w:val="000000"/>
                <w:szCs w:val="21"/>
              </w:rPr>
              <w:t>”</w:t>
            </w:r>
            <w:r>
              <w:rPr>
                <w:color w:val="000000"/>
                <w:szCs w:val="21"/>
              </w:rPr>
              <w:t>前附表第7项规定。</w:t>
            </w:r>
          </w:p>
          <w:p>
            <w:pPr>
              <w:adjustRightInd w:val="0"/>
              <w:snapToGrid w:val="0"/>
              <w:rPr>
                <w:color w:val="000000"/>
                <w:szCs w:val="21"/>
              </w:rPr>
            </w:pPr>
            <w:r>
              <w:rPr>
                <w:color w:val="000000"/>
                <w:szCs w:val="21"/>
              </w:rPr>
              <w:t>（2）提供的证明材料符合第六章</w:t>
            </w:r>
            <w:r>
              <w:rPr>
                <w:rFonts w:hint="eastAsia"/>
                <w:color w:val="000000"/>
                <w:szCs w:val="21"/>
              </w:rPr>
              <w:t>“</w:t>
            </w:r>
            <w:r>
              <w:rPr>
                <w:color w:val="000000"/>
                <w:szCs w:val="21"/>
              </w:rPr>
              <w:t>比选申请文件格式</w:t>
            </w:r>
            <w:r>
              <w:rPr>
                <w:rFonts w:hint="eastAsia"/>
                <w:color w:val="000000"/>
                <w:szCs w:val="21"/>
              </w:rPr>
              <w:t>”</w:t>
            </w:r>
            <w:r>
              <w:rPr>
                <w:color w:val="000000"/>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1407" w:type="pct"/>
            <w:noWrap/>
            <w:vAlign w:val="center"/>
          </w:tcPr>
          <w:p>
            <w:pPr>
              <w:adjustRightInd w:val="0"/>
              <w:snapToGrid w:val="0"/>
              <w:rPr>
                <w:color w:val="000000"/>
                <w:szCs w:val="21"/>
              </w:rPr>
            </w:pPr>
            <w:r>
              <w:rPr>
                <w:color w:val="000000"/>
                <w:szCs w:val="21"/>
              </w:rPr>
              <w:t>3</w:t>
            </w:r>
            <w:r>
              <w:rPr>
                <w:rFonts w:hint="eastAsia"/>
                <w:color w:val="000000"/>
                <w:szCs w:val="21"/>
              </w:rPr>
              <w:t>.</w:t>
            </w:r>
            <w:r>
              <w:rPr>
                <w:color w:val="000000"/>
                <w:szCs w:val="21"/>
              </w:rPr>
              <w:t>比选申请人的项目业绩符合第二章</w:t>
            </w:r>
            <w:r>
              <w:rPr>
                <w:rFonts w:hint="eastAsia"/>
                <w:color w:val="000000"/>
                <w:szCs w:val="21"/>
              </w:rPr>
              <w:t>“</w:t>
            </w:r>
            <w:r>
              <w:rPr>
                <w:color w:val="000000"/>
                <w:szCs w:val="21"/>
              </w:rPr>
              <w:t>比选申请人须知</w:t>
            </w:r>
            <w:r>
              <w:rPr>
                <w:rFonts w:hint="eastAsia"/>
                <w:color w:val="000000"/>
                <w:szCs w:val="21"/>
              </w:rPr>
              <w:t>”</w:t>
            </w:r>
            <w:r>
              <w:rPr>
                <w:color w:val="000000"/>
                <w:szCs w:val="21"/>
              </w:rPr>
              <w:t>前附表第7项规定</w:t>
            </w:r>
          </w:p>
        </w:tc>
        <w:tc>
          <w:tcPr>
            <w:tcW w:w="2714" w:type="pct"/>
            <w:noWrap/>
            <w:vAlign w:val="center"/>
          </w:tcPr>
          <w:p>
            <w:pPr>
              <w:widowControl/>
              <w:adjustRightInd w:val="0"/>
              <w:snapToGrid w:val="0"/>
              <w:rPr>
                <w:color w:val="000000"/>
                <w:szCs w:val="21"/>
              </w:rPr>
            </w:pPr>
            <w:r>
              <w:rPr>
                <w:color w:val="000000"/>
                <w:szCs w:val="21"/>
              </w:rPr>
              <w:t>（1）比选申请人的项目业绩符合第二章</w:t>
            </w:r>
            <w:r>
              <w:rPr>
                <w:rFonts w:hint="eastAsia"/>
                <w:color w:val="000000"/>
                <w:szCs w:val="21"/>
              </w:rPr>
              <w:t>“</w:t>
            </w:r>
            <w:r>
              <w:rPr>
                <w:color w:val="000000"/>
                <w:szCs w:val="21"/>
              </w:rPr>
              <w:t>比选申请人须知</w:t>
            </w:r>
            <w:r>
              <w:rPr>
                <w:rFonts w:hint="eastAsia"/>
                <w:color w:val="000000"/>
                <w:szCs w:val="21"/>
              </w:rPr>
              <w:t>”</w:t>
            </w:r>
            <w:r>
              <w:rPr>
                <w:color w:val="000000"/>
                <w:szCs w:val="21"/>
              </w:rPr>
              <w:t>前附表第7项规定。</w:t>
            </w:r>
          </w:p>
          <w:p>
            <w:pPr>
              <w:widowControl/>
              <w:adjustRightInd w:val="0"/>
              <w:snapToGrid w:val="0"/>
              <w:rPr>
                <w:color w:val="000000"/>
                <w:szCs w:val="21"/>
              </w:rPr>
            </w:pPr>
            <w:r>
              <w:rPr>
                <w:color w:val="000000"/>
                <w:szCs w:val="21"/>
              </w:rPr>
              <w:t>（2）提供的证明材料符合第六章</w:t>
            </w:r>
            <w:r>
              <w:rPr>
                <w:rFonts w:hint="eastAsia"/>
                <w:color w:val="000000"/>
                <w:szCs w:val="21"/>
              </w:rPr>
              <w:t>“</w:t>
            </w:r>
            <w:r>
              <w:rPr>
                <w:color w:val="000000"/>
                <w:szCs w:val="21"/>
              </w:rPr>
              <w:t>比选申请文件格式</w:t>
            </w:r>
            <w:r>
              <w:rPr>
                <w:rFonts w:hint="eastAsia"/>
                <w:color w:val="000000"/>
                <w:szCs w:val="21"/>
              </w:rPr>
              <w:t>”</w:t>
            </w:r>
            <w:r>
              <w:rPr>
                <w:color w:val="000000"/>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1407" w:type="pct"/>
            <w:noWrap/>
            <w:vAlign w:val="center"/>
          </w:tcPr>
          <w:p>
            <w:pPr>
              <w:adjustRightInd w:val="0"/>
              <w:snapToGrid w:val="0"/>
              <w:rPr>
                <w:color w:val="000000"/>
                <w:szCs w:val="21"/>
              </w:rPr>
            </w:pPr>
            <w:r>
              <w:rPr>
                <w:bCs/>
                <w:color w:val="000000"/>
                <w:szCs w:val="21"/>
              </w:rPr>
              <w:t>4．</w:t>
            </w:r>
            <w:r>
              <w:rPr>
                <w:color w:val="000000"/>
                <w:szCs w:val="21"/>
              </w:rPr>
              <w:t>比选申请</w:t>
            </w:r>
            <w:r>
              <w:rPr>
                <w:bCs/>
                <w:color w:val="000000"/>
                <w:szCs w:val="21"/>
              </w:rPr>
              <w:t>人的信誉符合第二章</w:t>
            </w:r>
            <w:r>
              <w:rPr>
                <w:rFonts w:hint="eastAsia"/>
                <w:bCs/>
                <w:color w:val="000000"/>
                <w:szCs w:val="21"/>
              </w:rPr>
              <w:t>“</w:t>
            </w:r>
            <w:r>
              <w:rPr>
                <w:bCs/>
                <w:color w:val="000000"/>
                <w:szCs w:val="21"/>
              </w:rPr>
              <w:t>比选申请人须知</w:t>
            </w:r>
            <w:r>
              <w:rPr>
                <w:rFonts w:hint="eastAsia"/>
                <w:bCs/>
                <w:color w:val="000000"/>
                <w:szCs w:val="21"/>
              </w:rPr>
              <w:t>”</w:t>
            </w:r>
            <w:r>
              <w:rPr>
                <w:bCs/>
                <w:color w:val="000000"/>
                <w:szCs w:val="21"/>
              </w:rPr>
              <w:t>前附表第7项规定</w:t>
            </w:r>
          </w:p>
        </w:tc>
        <w:tc>
          <w:tcPr>
            <w:tcW w:w="2714" w:type="pct"/>
            <w:noWrap/>
            <w:vAlign w:val="center"/>
          </w:tcPr>
          <w:p>
            <w:pPr>
              <w:widowControl/>
              <w:adjustRightInd w:val="0"/>
              <w:snapToGrid w:val="0"/>
              <w:rPr>
                <w:color w:val="000000"/>
                <w:szCs w:val="21"/>
              </w:rPr>
            </w:pPr>
            <w:r>
              <w:rPr>
                <w:color w:val="000000"/>
                <w:szCs w:val="21"/>
              </w:rPr>
              <w:t>（1）比选申请人的信誉符合第二章</w:t>
            </w:r>
            <w:r>
              <w:rPr>
                <w:rFonts w:hint="eastAsia"/>
                <w:color w:val="000000"/>
                <w:szCs w:val="21"/>
              </w:rPr>
              <w:t>“</w:t>
            </w:r>
            <w:r>
              <w:rPr>
                <w:color w:val="000000"/>
                <w:szCs w:val="21"/>
              </w:rPr>
              <w:t>比选申请人须知</w:t>
            </w:r>
            <w:r>
              <w:rPr>
                <w:rFonts w:hint="eastAsia"/>
                <w:color w:val="000000"/>
                <w:szCs w:val="21"/>
              </w:rPr>
              <w:t>”</w:t>
            </w:r>
            <w:r>
              <w:rPr>
                <w:color w:val="000000"/>
                <w:szCs w:val="21"/>
              </w:rPr>
              <w:t>前附表第7项规定。</w:t>
            </w:r>
          </w:p>
          <w:p>
            <w:pPr>
              <w:widowControl/>
              <w:adjustRightInd w:val="0"/>
              <w:snapToGrid w:val="0"/>
              <w:rPr>
                <w:color w:val="000000"/>
                <w:szCs w:val="21"/>
              </w:rPr>
            </w:pPr>
            <w:r>
              <w:rPr>
                <w:color w:val="000000"/>
                <w:szCs w:val="21"/>
              </w:rPr>
              <w:t>（2）提供的证明材料符合第六章</w:t>
            </w:r>
            <w:r>
              <w:rPr>
                <w:rFonts w:hint="eastAsia"/>
                <w:color w:val="000000"/>
                <w:szCs w:val="21"/>
              </w:rPr>
              <w:t>“</w:t>
            </w:r>
            <w:r>
              <w:rPr>
                <w:color w:val="000000"/>
                <w:szCs w:val="21"/>
              </w:rPr>
              <w:t>比选申请文件格式</w:t>
            </w:r>
            <w:r>
              <w:rPr>
                <w:rFonts w:hint="eastAsia"/>
                <w:color w:val="000000"/>
                <w:szCs w:val="21"/>
              </w:rPr>
              <w:t>”</w:t>
            </w:r>
            <w:r>
              <w:rPr>
                <w:color w:val="000000"/>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1407" w:type="pct"/>
            <w:noWrap/>
            <w:vAlign w:val="center"/>
          </w:tcPr>
          <w:p>
            <w:pPr>
              <w:adjustRightInd w:val="0"/>
              <w:snapToGrid w:val="0"/>
              <w:rPr>
                <w:bCs/>
                <w:color w:val="000000"/>
                <w:szCs w:val="21"/>
              </w:rPr>
            </w:pPr>
            <w:r>
              <w:rPr>
                <w:bCs/>
                <w:color w:val="000000"/>
                <w:szCs w:val="21"/>
              </w:rPr>
              <w:t>5．</w:t>
            </w:r>
            <w:r>
              <w:rPr>
                <w:color w:val="000000"/>
                <w:szCs w:val="21"/>
              </w:rPr>
              <w:t>比选申请</w:t>
            </w:r>
            <w:r>
              <w:rPr>
                <w:bCs/>
                <w:color w:val="000000"/>
                <w:szCs w:val="21"/>
              </w:rPr>
              <w:t>人还应符合下述规定</w:t>
            </w:r>
          </w:p>
        </w:tc>
        <w:tc>
          <w:tcPr>
            <w:tcW w:w="2714" w:type="pct"/>
            <w:noWrap/>
            <w:vAlign w:val="center"/>
          </w:tcPr>
          <w:p>
            <w:pPr>
              <w:widowControl/>
              <w:adjustRightInd w:val="0"/>
              <w:snapToGrid w:val="0"/>
              <w:rPr>
                <w:color w:val="000000"/>
                <w:szCs w:val="21"/>
              </w:rPr>
            </w:pPr>
            <w:r>
              <w:rPr>
                <w:color w:val="000000"/>
                <w:szCs w:val="21"/>
              </w:rPr>
              <w:t>（1）比选申请不存在第二章</w:t>
            </w:r>
            <w:r>
              <w:rPr>
                <w:rFonts w:hint="eastAsia"/>
                <w:color w:val="000000"/>
                <w:szCs w:val="21"/>
              </w:rPr>
              <w:t>“</w:t>
            </w:r>
            <w:r>
              <w:rPr>
                <w:color w:val="000000"/>
                <w:szCs w:val="21"/>
              </w:rPr>
              <w:t>比选申请人须知</w:t>
            </w:r>
            <w:r>
              <w:rPr>
                <w:rFonts w:hint="eastAsia"/>
                <w:color w:val="000000"/>
                <w:szCs w:val="21"/>
              </w:rPr>
              <w:t>”</w:t>
            </w:r>
            <w:r>
              <w:rPr>
                <w:color w:val="000000"/>
                <w:szCs w:val="21"/>
              </w:rPr>
              <w:t>前附表第36项规定的任何一种情形（按本项资格评审标准第</w:t>
            </w:r>
            <w:r>
              <w:rPr>
                <w:rFonts w:hint="eastAsia"/>
                <w:color w:val="000000"/>
                <w:szCs w:val="21"/>
              </w:rPr>
              <w:t>4</w:t>
            </w:r>
            <w:r>
              <w:rPr>
                <w:color w:val="000000"/>
                <w:szCs w:val="21"/>
              </w:rPr>
              <w:t>目信誉要求已评审的，此处不再评审）。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restart"/>
            <w:noWrap/>
            <w:vAlign w:val="center"/>
          </w:tcPr>
          <w:p>
            <w:pPr>
              <w:adjustRightInd w:val="0"/>
              <w:snapToGrid w:val="0"/>
              <w:jc w:val="center"/>
              <w:rPr>
                <w:color w:val="000000"/>
                <w:szCs w:val="21"/>
              </w:rPr>
            </w:pPr>
            <w:r>
              <w:rPr>
                <w:color w:val="000000"/>
                <w:szCs w:val="21"/>
              </w:rPr>
              <w:t>2.1.3</w:t>
            </w:r>
          </w:p>
          <w:p>
            <w:pPr>
              <w:adjustRightInd w:val="0"/>
              <w:snapToGrid w:val="0"/>
              <w:jc w:val="center"/>
              <w:rPr>
                <w:color w:val="000000"/>
                <w:szCs w:val="21"/>
              </w:rPr>
            </w:pPr>
            <w:r>
              <w:rPr>
                <w:color w:val="000000"/>
                <w:szCs w:val="21"/>
              </w:rPr>
              <w:t>响应性评审标准</w:t>
            </w:r>
          </w:p>
        </w:tc>
        <w:tc>
          <w:tcPr>
            <w:tcW w:w="4122" w:type="pct"/>
            <w:gridSpan w:val="2"/>
            <w:noWrap/>
            <w:vAlign w:val="center"/>
          </w:tcPr>
          <w:p>
            <w:pPr>
              <w:widowControl/>
              <w:adjustRightInd w:val="0"/>
              <w:snapToGrid w:val="0"/>
              <w:rPr>
                <w:color w:val="000000"/>
                <w:szCs w:val="21"/>
              </w:rPr>
            </w:pPr>
            <w:r>
              <w:rPr>
                <w:color w:val="000000"/>
                <w:szCs w:val="21"/>
              </w:rPr>
              <w:t>1.比选文件载明的比选项目服务期限符合比选文件规定。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4122" w:type="pct"/>
            <w:gridSpan w:val="2"/>
            <w:noWrap/>
            <w:vAlign w:val="center"/>
          </w:tcPr>
          <w:p>
            <w:pPr>
              <w:pStyle w:val="14"/>
              <w:topLinePunct/>
              <w:adjustRightInd w:val="0"/>
              <w:snapToGrid w:val="0"/>
              <w:rPr>
                <w:rFonts w:ascii="Times New Roman" w:hAnsi="Times New Roman"/>
                <w:color w:val="000000"/>
                <w:szCs w:val="21"/>
              </w:rPr>
            </w:pPr>
            <w:r>
              <w:rPr>
                <w:rFonts w:ascii="Times New Roman" w:hAnsi="Times New Roman"/>
                <w:color w:val="000000"/>
                <w:szCs w:val="21"/>
              </w:rPr>
              <w:t>2.比选申请文件对比选文件的实质性要求和条件在比选申请</w:t>
            </w:r>
            <w:r>
              <w:rPr>
                <w:rFonts w:hint="eastAsia" w:ascii="Times New Roman" w:hAnsi="Times New Roman"/>
                <w:color w:val="000000"/>
                <w:szCs w:val="21"/>
                <w:lang w:val="en-US" w:eastAsia="zh-CN"/>
              </w:rPr>
              <w:t>函中</w:t>
            </w:r>
            <w:r>
              <w:rPr>
                <w:rFonts w:ascii="Times New Roman" w:hAnsi="Times New Roman"/>
                <w:color w:val="000000"/>
                <w:szCs w:val="21"/>
              </w:rPr>
              <w:t>作出响应。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4122" w:type="pct"/>
            <w:gridSpan w:val="2"/>
            <w:noWrap/>
            <w:vAlign w:val="center"/>
          </w:tcPr>
          <w:p>
            <w:pPr>
              <w:widowControl/>
              <w:adjustRightInd w:val="0"/>
              <w:snapToGrid w:val="0"/>
              <w:rPr>
                <w:color w:val="000000"/>
                <w:szCs w:val="21"/>
              </w:rPr>
            </w:pPr>
            <w:r>
              <w:rPr>
                <w:color w:val="000000"/>
                <w:szCs w:val="21"/>
              </w:rPr>
              <w:t>3.权利义务按比选文件的规定在比选申请函中作出承诺。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ind w:firstLine="199" w:firstLineChars="95"/>
              <w:jc w:val="center"/>
              <w:rPr>
                <w:color w:val="000000"/>
                <w:szCs w:val="21"/>
              </w:rPr>
            </w:pPr>
          </w:p>
        </w:tc>
        <w:tc>
          <w:tcPr>
            <w:tcW w:w="438" w:type="pct"/>
            <w:vMerge w:val="continue"/>
            <w:noWrap/>
            <w:vAlign w:val="center"/>
          </w:tcPr>
          <w:p>
            <w:pPr>
              <w:adjustRightInd w:val="0"/>
              <w:snapToGrid w:val="0"/>
              <w:jc w:val="center"/>
              <w:rPr>
                <w:color w:val="000000"/>
                <w:szCs w:val="21"/>
              </w:rPr>
            </w:pPr>
          </w:p>
        </w:tc>
        <w:tc>
          <w:tcPr>
            <w:tcW w:w="4122" w:type="pct"/>
            <w:gridSpan w:val="2"/>
            <w:noWrap/>
            <w:vAlign w:val="center"/>
          </w:tcPr>
          <w:p>
            <w:pPr>
              <w:widowControl/>
              <w:adjustRightInd w:val="0"/>
              <w:snapToGrid w:val="0"/>
              <w:rPr>
                <w:color w:val="000000"/>
                <w:szCs w:val="21"/>
              </w:rPr>
            </w:pPr>
            <w:r>
              <w:rPr>
                <w:color w:val="000000"/>
                <w:szCs w:val="21"/>
              </w:rPr>
              <w:t>4.</w:t>
            </w:r>
            <w:r>
              <w:t>比选申请文件中的报价未超过比选文件设定的最高比选申请限价，且不得低于成本价。</w:t>
            </w:r>
            <w:r>
              <w:rPr>
                <w:color w:val="000000"/>
                <w:szCs w:val="21"/>
              </w:rPr>
              <w:t>评标委员会认定比选申请人以低于成本报价的，其比选申请将予以否决。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restart"/>
            <w:noWrap/>
            <w:vAlign w:val="center"/>
          </w:tcPr>
          <w:p>
            <w:pPr>
              <w:adjustRightInd w:val="0"/>
              <w:snapToGrid w:val="0"/>
              <w:jc w:val="center"/>
              <w:rPr>
                <w:color w:val="000000"/>
                <w:szCs w:val="21"/>
              </w:rPr>
            </w:pPr>
            <w:r>
              <w:rPr>
                <w:color w:val="000000"/>
                <w:szCs w:val="21"/>
              </w:rPr>
              <w:t>3.6</w:t>
            </w:r>
          </w:p>
          <w:p>
            <w:pPr>
              <w:adjustRightInd w:val="0"/>
              <w:snapToGrid w:val="0"/>
              <w:jc w:val="center"/>
              <w:rPr>
                <w:color w:val="000000"/>
                <w:szCs w:val="21"/>
              </w:rPr>
            </w:pPr>
            <w:r>
              <w:rPr>
                <w:color w:val="000000"/>
                <w:szCs w:val="21"/>
              </w:rPr>
              <w:t>比选申请文件相关信息核查</w:t>
            </w:r>
          </w:p>
        </w:tc>
        <w:tc>
          <w:tcPr>
            <w:tcW w:w="438" w:type="pct"/>
            <w:noWrap/>
            <w:vAlign w:val="center"/>
          </w:tcPr>
          <w:p>
            <w:pPr>
              <w:adjustRightInd w:val="0"/>
              <w:snapToGrid w:val="0"/>
              <w:jc w:val="center"/>
              <w:rPr>
                <w:color w:val="000000"/>
                <w:szCs w:val="21"/>
              </w:rPr>
            </w:pPr>
            <w:r>
              <w:rPr>
                <w:color w:val="000000"/>
                <w:szCs w:val="21"/>
              </w:rPr>
              <w:t>3.6.1</w:t>
            </w:r>
          </w:p>
        </w:tc>
        <w:tc>
          <w:tcPr>
            <w:tcW w:w="4122" w:type="pct"/>
            <w:gridSpan w:val="2"/>
            <w:noWrap/>
            <w:vAlign w:val="center"/>
          </w:tcPr>
          <w:p>
            <w:pPr>
              <w:adjustRightInd w:val="0"/>
              <w:snapToGrid w:val="0"/>
              <w:rPr>
                <w:color w:val="000000"/>
                <w:szCs w:val="21"/>
              </w:rPr>
            </w:pPr>
            <w:r>
              <w:rPr>
                <w:color w:val="000000"/>
                <w:szCs w:val="21"/>
              </w:rPr>
              <w:t>经核实评标委员会认定比选申请人的第六章</w:t>
            </w:r>
            <w:r>
              <w:rPr>
                <w:rFonts w:hint="eastAsia"/>
                <w:color w:val="000000"/>
                <w:szCs w:val="21"/>
              </w:rPr>
              <w:t>“</w:t>
            </w:r>
            <w:r>
              <w:rPr>
                <w:color w:val="000000"/>
                <w:szCs w:val="21"/>
              </w:rPr>
              <w:t>比选申请文件格式</w:t>
            </w:r>
            <w:r>
              <w:rPr>
                <w:rFonts w:hint="eastAsia"/>
                <w:color w:val="000000"/>
                <w:szCs w:val="21"/>
              </w:rPr>
              <w:t>”</w:t>
            </w:r>
            <w:r>
              <w:rPr>
                <w:color w:val="000000"/>
                <w:szCs w:val="21"/>
              </w:rPr>
              <w:t>中要求比选申请文件提供的网页信息与国家企业信用信息公示系统、</w:t>
            </w:r>
            <w:r>
              <w:rPr>
                <w:rFonts w:hint="eastAsia"/>
                <w:color w:val="000000"/>
                <w:szCs w:val="21"/>
              </w:rPr>
              <w:t>“</w:t>
            </w:r>
            <w:r>
              <w:rPr>
                <w:color w:val="000000"/>
                <w:szCs w:val="21"/>
              </w:rPr>
              <w:t>信用中国</w:t>
            </w:r>
            <w:r>
              <w:rPr>
                <w:rFonts w:hint="eastAsia"/>
                <w:color w:val="000000"/>
                <w:szCs w:val="21"/>
              </w:rPr>
              <w:t>”</w:t>
            </w:r>
            <w:r>
              <w:rPr>
                <w:color w:val="000000"/>
                <w:szCs w:val="21"/>
              </w:rPr>
              <w:t>网站查询</w:t>
            </w:r>
            <w:r>
              <w:rPr>
                <w:rFonts w:hint="eastAsia"/>
                <w:color w:val="000000"/>
                <w:szCs w:val="21"/>
              </w:rPr>
              <w:t>“</w:t>
            </w:r>
            <w:r>
              <w:rPr>
                <w:color w:val="000000"/>
                <w:szCs w:val="21"/>
              </w:rPr>
              <w:t>失信被执行人</w:t>
            </w:r>
            <w:r>
              <w:rPr>
                <w:rFonts w:hint="eastAsia"/>
                <w:color w:val="000000"/>
                <w:szCs w:val="21"/>
              </w:rPr>
              <w:t>”</w:t>
            </w:r>
            <w:r>
              <w:rPr>
                <w:color w:val="000000"/>
                <w:szCs w:val="21"/>
              </w:rPr>
              <w:t>链接</w:t>
            </w:r>
            <w:r>
              <w:rPr>
                <w:rFonts w:hint="eastAsia"/>
                <w:color w:val="000000"/>
                <w:szCs w:val="21"/>
              </w:rPr>
              <w:t>“</w:t>
            </w:r>
            <w:r>
              <w:rPr>
                <w:color w:val="000000"/>
                <w:szCs w:val="21"/>
              </w:rPr>
              <w:t>中国执行信息公开信息</w:t>
            </w:r>
            <w:r>
              <w:rPr>
                <w:rFonts w:hint="eastAsia"/>
                <w:color w:val="000000"/>
                <w:szCs w:val="21"/>
              </w:rPr>
              <w:t>”</w:t>
            </w:r>
            <w:r>
              <w:rPr>
                <w:color w:val="000000"/>
                <w:szCs w:val="21"/>
              </w:rPr>
              <w:t>不符，使得比选申请人的资格条件不符合比选文件规定的，评标委员会应否决其比选申请。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vMerge w:val="continue"/>
            <w:noWrap/>
            <w:vAlign w:val="center"/>
          </w:tcPr>
          <w:p>
            <w:pPr>
              <w:adjustRightInd w:val="0"/>
              <w:snapToGrid w:val="0"/>
              <w:jc w:val="center"/>
              <w:rPr>
                <w:color w:val="000000"/>
                <w:szCs w:val="21"/>
              </w:rPr>
            </w:pPr>
          </w:p>
        </w:tc>
        <w:tc>
          <w:tcPr>
            <w:tcW w:w="438" w:type="pct"/>
            <w:noWrap/>
            <w:vAlign w:val="center"/>
          </w:tcPr>
          <w:p>
            <w:pPr>
              <w:adjustRightInd w:val="0"/>
              <w:snapToGrid w:val="0"/>
              <w:jc w:val="center"/>
              <w:rPr>
                <w:color w:val="000000"/>
                <w:szCs w:val="21"/>
              </w:rPr>
            </w:pPr>
            <w:r>
              <w:rPr>
                <w:color w:val="000000"/>
                <w:szCs w:val="21"/>
              </w:rPr>
              <w:t>3.6.2</w:t>
            </w:r>
          </w:p>
        </w:tc>
        <w:tc>
          <w:tcPr>
            <w:tcW w:w="4122" w:type="pct"/>
            <w:gridSpan w:val="2"/>
            <w:noWrap/>
            <w:vAlign w:val="center"/>
          </w:tcPr>
          <w:p>
            <w:pPr>
              <w:adjustRightInd w:val="0"/>
              <w:snapToGrid w:val="0"/>
              <w:rPr>
                <w:color w:val="000000"/>
                <w:szCs w:val="21"/>
              </w:rPr>
            </w:pPr>
            <w:r>
              <w:rPr>
                <w:color w:val="000000"/>
                <w:szCs w:val="21"/>
              </w:rPr>
              <w:t>评标委员会在评标过程中发现比选申请人存在串通投标、</w:t>
            </w:r>
            <w:r>
              <w:rPr>
                <w:rFonts w:hint="eastAsia"/>
                <w:color w:val="000000"/>
                <w:szCs w:val="21"/>
              </w:rPr>
              <w:t>弄虚</w:t>
            </w:r>
            <w:r>
              <w:rPr>
                <w:color w:val="000000"/>
                <w:szCs w:val="21"/>
              </w:rPr>
              <w:t>作假、行贿等违法行为情形的，评标委员会应否决其比选申请。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39" w:type="pct"/>
            <w:noWrap/>
            <w:vAlign w:val="center"/>
          </w:tcPr>
          <w:p>
            <w:pPr>
              <w:adjustRightInd w:val="0"/>
              <w:snapToGrid w:val="0"/>
              <w:jc w:val="center"/>
              <w:rPr>
                <w:color w:val="000000"/>
                <w:szCs w:val="21"/>
              </w:rPr>
            </w:pPr>
            <w:r>
              <w:rPr>
                <w:color w:val="000000"/>
                <w:szCs w:val="21"/>
              </w:rPr>
              <w:t>3.7</w:t>
            </w:r>
          </w:p>
          <w:p>
            <w:pPr>
              <w:adjustRightInd w:val="0"/>
              <w:snapToGrid w:val="0"/>
              <w:jc w:val="center"/>
              <w:rPr>
                <w:color w:val="000000"/>
                <w:szCs w:val="21"/>
              </w:rPr>
            </w:pPr>
            <w:r>
              <w:rPr>
                <w:color w:val="000000"/>
                <w:szCs w:val="21"/>
              </w:rPr>
              <w:t>比选申请文件的澄清和说明</w:t>
            </w:r>
          </w:p>
        </w:tc>
        <w:tc>
          <w:tcPr>
            <w:tcW w:w="438" w:type="pct"/>
            <w:noWrap/>
            <w:vAlign w:val="center"/>
          </w:tcPr>
          <w:p>
            <w:pPr>
              <w:adjustRightInd w:val="0"/>
              <w:snapToGrid w:val="0"/>
              <w:jc w:val="center"/>
              <w:rPr>
                <w:color w:val="000000"/>
                <w:szCs w:val="21"/>
              </w:rPr>
            </w:pPr>
            <w:r>
              <w:rPr>
                <w:color w:val="000000"/>
                <w:szCs w:val="21"/>
              </w:rPr>
              <w:t>3.7.1</w:t>
            </w:r>
          </w:p>
        </w:tc>
        <w:tc>
          <w:tcPr>
            <w:tcW w:w="4122" w:type="pct"/>
            <w:gridSpan w:val="2"/>
            <w:noWrap/>
            <w:vAlign w:val="center"/>
          </w:tcPr>
          <w:p>
            <w:pPr>
              <w:adjustRightInd w:val="0"/>
              <w:snapToGrid w:val="0"/>
              <w:rPr>
                <w:color w:val="000000"/>
                <w:szCs w:val="21"/>
              </w:rPr>
            </w:pPr>
            <w:r>
              <w:rPr>
                <w:color w:val="000000"/>
                <w:szCs w:val="21"/>
              </w:rPr>
              <w:t>本项细化为：</w:t>
            </w:r>
          </w:p>
          <w:p>
            <w:pPr>
              <w:adjustRightInd w:val="0"/>
              <w:snapToGrid w:val="0"/>
              <w:rPr>
                <w:color w:val="000000"/>
                <w:szCs w:val="21"/>
              </w:rPr>
            </w:pPr>
            <w:r>
              <w:rPr>
                <w:color w:val="000000"/>
                <w:szCs w:val="21"/>
              </w:rPr>
              <w:t>（1）在评标过程中，评标委员会可以以书面形式要求比选申请人对比选申请文件中含义不明确的内容、明显文字或计算错误进行澄清或说明。评标委员会不接受比选申请人主动提出的澄清、说明。</w:t>
            </w:r>
          </w:p>
          <w:p>
            <w:pPr>
              <w:adjustRightInd w:val="0"/>
              <w:snapToGrid w:val="0"/>
              <w:rPr>
                <w:color w:val="000000"/>
                <w:szCs w:val="21"/>
              </w:rPr>
            </w:pPr>
            <w:r>
              <w:rPr>
                <w:color w:val="000000"/>
                <w:szCs w:val="21"/>
              </w:rPr>
              <w:t>（2）比选申请人收到问题澄清通知后必须在规定时间内以书面形式给予澄清，比选申请人的澄清必须加盖比选申请人单位章或法定代表人或其委托代理人签字。</w:t>
            </w:r>
          </w:p>
          <w:p>
            <w:pPr>
              <w:adjustRightInd w:val="0"/>
              <w:snapToGrid w:val="0"/>
              <w:rPr>
                <w:color w:val="000000"/>
                <w:szCs w:val="21"/>
              </w:rPr>
            </w:pPr>
            <w:r>
              <w:rPr>
                <w:color w:val="000000"/>
                <w:szCs w:val="21"/>
              </w:rPr>
              <w:t>（3）若未影响到中选候选人排序，则可不要求比选申请人澄清。若影响到评标排序的应进行澄清，并取得比选申请人的确认。比选申请人不按评标委员会要求澄清或说明的，评标委员会应否决其比选申请。</w:t>
            </w:r>
          </w:p>
        </w:tc>
      </w:tr>
    </w:tbl>
    <w:p>
      <w:pPr>
        <w:pStyle w:val="2"/>
        <w:ind w:firstLine="560"/>
        <w:rPr>
          <w:rFonts w:ascii="Times New Roman" w:hAnsi="Times New Roman"/>
        </w:rPr>
      </w:pPr>
    </w:p>
    <w:bookmarkEnd w:id="34"/>
    <w:bookmarkEnd w:id="35"/>
    <w:p>
      <w:bookmarkStart w:id="39" w:name="_Toc8388"/>
    </w:p>
    <w:p>
      <w:r>
        <w:br w:type="page"/>
      </w:r>
    </w:p>
    <w:p>
      <w:pPr>
        <w:pStyle w:val="5"/>
        <w:spacing w:before="0" w:after="0" w:line="240" w:lineRule="auto"/>
        <w:jc w:val="center"/>
        <w:rPr>
          <w:rFonts w:eastAsia="黑体"/>
          <w:sz w:val="36"/>
          <w:szCs w:val="36"/>
        </w:rPr>
      </w:pPr>
      <w:bookmarkStart w:id="40" w:name="_Toc202215193"/>
      <w:r>
        <w:rPr>
          <w:rFonts w:eastAsia="黑体"/>
          <w:sz w:val="36"/>
          <w:szCs w:val="36"/>
        </w:rPr>
        <w:t xml:space="preserve">第四章 </w:t>
      </w:r>
      <w:r>
        <w:rPr>
          <w:rFonts w:hint="eastAsia" w:eastAsia="黑体"/>
          <w:sz w:val="36"/>
          <w:szCs w:val="36"/>
          <w:lang w:val="en-US" w:eastAsia="zh-CN"/>
        </w:rPr>
        <w:t xml:space="preserve"> </w:t>
      </w:r>
      <w:r>
        <w:rPr>
          <w:rFonts w:eastAsia="黑体"/>
          <w:sz w:val="36"/>
          <w:szCs w:val="36"/>
        </w:rPr>
        <w:t>合同条款及格式</w:t>
      </w:r>
      <w:bookmarkEnd w:id="39"/>
      <w:bookmarkEnd w:id="40"/>
    </w:p>
    <w:p>
      <w:pPr>
        <w:pStyle w:val="14"/>
        <w:topLinePunct/>
        <w:spacing w:line="360" w:lineRule="auto"/>
        <w:ind w:firstLine="2400" w:firstLineChars="1000"/>
        <w:textAlignment w:val="center"/>
        <w:rPr>
          <w:rFonts w:ascii="Times New Roman" w:hAnsi="Times New Roman"/>
          <w:sz w:val="24"/>
        </w:rPr>
      </w:pPr>
      <w:r>
        <w:rPr>
          <w:rFonts w:ascii="Times New Roman" w:hAnsi="Times New Roman"/>
          <w:sz w:val="24"/>
        </w:rPr>
        <w:t>附件一  合同协议书</w:t>
      </w:r>
    </w:p>
    <w:p>
      <w:pPr>
        <w:pStyle w:val="14"/>
        <w:topLinePunct/>
        <w:spacing w:line="360" w:lineRule="auto"/>
        <w:ind w:firstLine="2400" w:firstLineChars="1000"/>
        <w:textAlignment w:val="center"/>
        <w:rPr>
          <w:rFonts w:ascii="Times New Roman" w:hAnsi="Times New Roman"/>
          <w:sz w:val="24"/>
        </w:rPr>
      </w:pPr>
      <w:r>
        <w:rPr>
          <w:rFonts w:ascii="Times New Roman" w:hAnsi="Times New Roman"/>
          <w:sz w:val="24"/>
        </w:rPr>
        <w:t>附件二  廉政合同</w:t>
      </w:r>
    </w:p>
    <w:p>
      <w:pPr>
        <w:pStyle w:val="14"/>
        <w:topLinePunct/>
        <w:spacing w:line="360" w:lineRule="auto"/>
        <w:ind w:firstLine="2400" w:firstLineChars="1000"/>
        <w:textAlignment w:val="center"/>
        <w:rPr>
          <w:rFonts w:ascii="Times New Roman" w:hAnsi="Times New Roman"/>
          <w:sz w:val="24"/>
        </w:rPr>
      </w:pPr>
      <w:r>
        <w:rPr>
          <w:rFonts w:ascii="Times New Roman" w:hAnsi="Times New Roman"/>
          <w:sz w:val="24"/>
        </w:rPr>
        <w:t>附件三  安全生产合同</w:t>
      </w:r>
    </w:p>
    <w:p>
      <w:pPr>
        <w:numPr>
          <w:ilvl w:val="255"/>
          <w:numId w:val="0"/>
        </w:numPr>
        <w:jc w:val="left"/>
        <w:rPr>
          <w:b/>
          <w:bCs/>
          <w:sz w:val="28"/>
          <w:szCs w:val="28"/>
        </w:rPr>
      </w:pPr>
      <w:r>
        <w:rPr>
          <w:b/>
          <w:bCs/>
          <w:sz w:val="28"/>
          <w:szCs w:val="28"/>
        </w:rPr>
        <w:br w:type="page"/>
      </w:r>
    </w:p>
    <w:p>
      <w:pPr>
        <w:jc w:val="center"/>
        <w:rPr>
          <w:b/>
          <w:bCs/>
          <w:sz w:val="28"/>
          <w:szCs w:val="28"/>
        </w:rPr>
      </w:pPr>
      <w:r>
        <w:rPr>
          <w:b/>
          <w:bCs/>
          <w:sz w:val="28"/>
          <w:szCs w:val="28"/>
        </w:rPr>
        <w:t>（一）合同协议书格式</w:t>
      </w:r>
    </w:p>
    <w:p>
      <w:pPr>
        <w:widowControl/>
        <w:jc w:val="center"/>
        <w:rPr>
          <w:rFonts w:ascii="方正小标宋简体" w:hAnsi="方正小标宋简体" w:eastAsia="方正小标宋简体" w:cs="方正小标宋简体"/>
          <w:w w:val="78"/>
          <w:sz w:val="44"/>
          <w:szCs w:val="44"/>
        </w:rPr>
      </w:pPr>
      <w:r>
        <w:rPr>
          <w:rFonts w:ascii="方正小标宋简体" w:hAnsi="方正小标宋简体" w:eastAsia="方正小标宋简体" w:cs="方正小标宋简体"/>
          <w:w w:val="78"/>
          <w:sz w:val="44"/>
          <w:szCs w:val="44"/>
        </w:rPr>
        <w:t>四川成渝高速公路股份有限公司公路运营管理一分公司</w:t>
      </w:r>
    </w:p>
    <w:p>
      <w:pPr>
        <w:widowControl/>
        <w:jc w:val="center"/>
        <w:rPr>
          <w:color w:val="000000"/>
          <w:sz w:val="28"/>
          <w:szCs w:val="28"/>
        </w:rPr>
      </w:pPr>
      <w:r>
        <w:rPr>
          <w:rFonts w:hint="eastAsia" w:ascii="方正小标宋简体" w:hAnsi="方正小标宋简体" w:eastAsia="方正小标宋简体" w:cs="方正小标宋简体"/>
          <w:color w:val="000000"/>
          <w:sz w:val="44"/>
          <w:szCs w:val="44"/>
        </w:rPr>
        <w:t>防雷检测服务项目协议</w:t>
      </w:r>
    </w:p>
    <w:p>
      <w:pPr>
        <w:widowControl/>
        <w:jc w:val="center"/>
        <w:rPr>
          <w:color w:val="000000"/>
          <w:sz w:val="28"/>
          <w:szCs w:val="28"/>
        </w:rPr>
      </w:pPr>
      <w:r>
        <w:rPr>
          <w:rFonts w:hint="eastAsia"/>
          <w:sz w:val="24"/>
        </w:rPr>
        <w:t>协议编号：</w:t>
      </w: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spacing w:after="150" w:line="560" w:lineRule="exact"/>
        <w:jc w:val="left"/>
        <w:rPr>
          <w:b/>
          <w:bCs/>
          <w:color w:val="000000"/>
          <w:sz w:val="32"/>
          <w:szCs w:val="32"/>
        </w:rPr>
      </w:pPr>
      <w:r>
        <w:rPr>
          <w:b/>
          <w:bCs/>
          <w:color w:val="000000"/>
          <w:sz w:val="32"/>
          <w:szCs w:val="32"/>
        </w:rPr>
        <w:t>委托方（甲方）：</w:t>
      </w:r>
    </w:p>
    <w:p>
      <w:pPr>
        <w:widowControl/>
        <w:spacing w:before="150" w:after="150" w:line="560" w:lineRule="exact"/>
        <w:jc w:val="left"/>
        <w:rPr>
          <w:b/>
          <w:bCs/>
          <w:color w:val="000000"/>
          <w:sz w:val="32"/>
          <w:szCs w:val="32"/>
        </w:rPr>
      </w:pPr>
      <w:r>
        <w:rPr>
          <w:b/>
          <w:bCs/>
          <w:color w:val="000000"/>
          <w:sz w:val="32"/>
          <w:szCs w:val="32"/>
        </w:rPr>
        <w:t>服务方（乙方）:</w:t>
      </w:r>
    </w:p>
    <w:p>
      <w:pPr>
        <w:widowControl/>
        <w:spacing w:before="150" w:after="150" w:line="560" w:lineRule="exact"/>
        <w:jc w:val="left"/>
        <w:rPr>
          <w:color w:val="000000"/>
          <w:sz w:val="30"/>
          <w:szCs w:val="30"/>
        </w:rPr>
      </w:pPr>
      <w:r>
        <w:rPr>
          <w:b/>
          <w:bCs/>
          <w:color w:val="000000"/>
          <w:sz w:val="32"/>
          <w:szCs w:val="32"/>
        </w:rPr>
        <w:t>签约地点</w:t>
      </w:r>
      <w:r>
        <w:rPr>
          <w:color w:val="000000"/>
          <w:sz w:val="32"/>
          <w:szCs w:val="32"/>
        </w:rPr>
        <w:t>：</w:t>
      </w:r>
      <w:r>
        <w:rPr>
          <w:b/>
          <w:bCs/>
          <w:color w:val="000000"/>
          <w:sz w:val="32"/>
          <w:szCs w:val="32"/>
        </w:rPr>
        <w:t>四川省成都市</w:t>
      </w:r>
    </w:p>
    <w:p>
      <w:pPr>
        <w:spacing w:line="560" w:lineRule="exact"/>
        <w:jc w:val="left"/>
        <w:rPr>
          <w:b/>
          <w:bCs/>
          <w:color w:val="000000"/>
          <w:sz w:val="32"/>
          <w:szCs w:val="32"/>
        </w:rPr>
      </w:pPr>
      <w:r>
        <w:rPr>
          <w:b/>
          <w:bCs/>
          <w:color w:val="000000"/>
          <w:sz w:val="32"/>
          <w:szCs w:val="32"/>
        </w:rPr>
        <w:t>签订日期：年 月 日</w:t>
      </w:r>
    </w:p>
    <w:p>
      <w:pPr>
        <w:jc w:val="left"/>
        <w:rPr>
          <w:b/>
          <w:bCs/>
          <w:color w:val="000000"/>
          <w:sz w:val="32"/>
          <w:szCs w:val="32"/>
        </w:rPr>
      </w:pPr>
    </w:p>
    <w:p>
      <w:pPr>
        <w:widowControl/>
        <w:jc w:val="left"/>
        <w:rPr>
          <w:b/>
          <w:bCs/>
          <w:color w:val="000000"/>
          <w:sz w:val="36"/>
          <w:szCs w:val="36"/>
        </w:rPr>
      </w:pPr>
      <w:r>
        <w:rPr>
          <w:b/>
          <w:bCs/>
          <w:color w:val="000000"/>
          <w:sz w:val="36"/>
          <w:szCs w:val="36"/>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color w:val="000000"/>
          <w:sz w:val="28"/>
          <w:szCs w:val="28"/>
        </w:rPr>
      </w:pPr>
      <w:r>
        <w:rPr>
          <w:b/>
          <w:bCs/>
          <w:color w:val="000000"/>
          <w:sz w:val="28"/>
          <w:szCs w:val="28"/>
        </w:rPr>
        <w:t>四川成渝高速公路股份有限公司公路运营管理一分公司</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b/>
          <w:bCs/>
          <w:color w:val="000000"/>
          <w:sz w:val="28"/>
          <w:szCs w:val="28"/>
        </w:rPr>
        <w:t>防雷检测服务项目协议</w:t>
      </w:r>
    </w:p>
    <w:p>
      <w:pPr>
        <w:widowControl/>
        <w:spacing w:before="150" w:after="150" w:line="440" w:lineRule="exact"/>
        <w:ind w:firstLine="420" w:firstLineChars="200"/>
        <w:rPr>
          <w:color w:val="000000"/>
          <w:szCs w:val="21"/>
        </w:rPr>
      </w:pPr>
      <w:r>
        <w:rPr>
          <w:color w:val="000000"/>
          <w:szCs w:val="21"/>
        </w:rPr>
        <w:t>双方本着自愿、平等的原则，经友好协商，订立本协议，以共同遵守。</w:t>
      </w:r>
    </w:p>
    <w:p>
      <w:pPr>
        <w:spacing w:line="440" w:lineRule="exact"/>
        <w:jc w:val="left"/>
        <w:rPr>
          <w:b/>
          <w:color w:val="000000"/>
          <w:szCs w:val="21"/>
        </w:rPr>
      </w:pPr>
      <w:r>
        <w:rPr>
          <w:b/>
          <w:color w:val="000000"/>
          <w:szCs w:val="21"/>
        </w:rPr>
        <w:t>第一条  声明</w:t>
      </w:r>
    </w:p>
    <w:p>
      <w:pPr>
        <w:widowControl/>
        <w:spacing w:before="150" w:after="150" w:line="440" w:lineRule="exact"/>
        <w:ind w:firstLine="420" w:firstLineChars="200"/>
        <w:rPr>
          <w:color w:val="000000"/>
          <w:szCs w:val="21"/>
        </w:rPr>
      </w:pPr>
      <w:r>
        <w:rPr>
          <w:color w:val="000000"/>
          <w:szCs w:val="21"/>
        </w:rPr>
        <w:t>乙方具备开展防雷检测服务的相关资质，出具的检测报告和数据具有权威性、公正性和合法性。</w:t>
      </w:r>
    </w:p>
    <w:p>
      <w:pPr>
        <w:spacing w:line="440" w:lineRule="exact"/>
        <w:jc w:val="left"/>
        <w:rPr>
          <w:b/>
          <w:color w:val="000000"/>
          <w:szCs w:val="21"/>
        </w:rPr>
      </w:pPr>
      <w:r>
        <w:rPr>
          <w:b/>
          <w:color w:val="000000"/>
          <w:szCs w:val="21"/>
        </w:rPr>
        <w:t>第二条  服务内容、方式和要求</w:t>
      </w:r>
    </w:p>
    <w:p>
      <w:pPr>
        <w:spacing w:line="440" w:lineRule="exact"/>
        <w:ind w:firstLine="420" w:firstLineChars="200"/>
        <w:jc w:val="left"/>
        <w:rPr>
          <w:color w:val="000000"/>
          <w:szCs w:val="21"/>
        </w:rPr>
      </w:pPr>
      <w:r>
        <w:rPr>
          <w:color w:val="000000"/>
          <w:szCs w:val="21"/>
        </w:rPr>
        <w:t>一、服务内容</w:t>
      </w:r>
    </w:p>
    <w:p>
      <w:pPr>
        <w:spacing w:line="440" w:lineRule="exact"/>
        <w:ind w:firstLine="420" w:firstLineChars="200"/>
        <w:jc w:val="left"/>
        <w:rPr>
          <w:color w:val="000000"/>
          <w:szCs w:val="21"/>
        </w:rPr>
      </w:pPr>
      <w:r>
        <w:rPr>
          <w:color w:val="000000"/>
          <w:szCs w:val="21"/>
        </w:rPr>
        <w:t>乙方对甲方所委托检测的建筑物、电气和电子设备等的防直击雷、防雷电感应、防雷电波侵入及防雷击电磁脉冲的设施设备进行检测。检测结束，乙方应提供符合</w:t>
      </w:r>
      <w:r>
        <w:rPr>
          <w:rFonts w:hint="eastAsia"/>
          <w:color w:val="000000"/>
          <w:szCs w:val="21"/>
        </w:rPr>
        <w:t>气象部门</w:t>
      </w:r>
      <w:r>
        <w:rPr>
          <w:color w:val="000000"/>
          <w:szCs w:val="21"/>
        </w:rPr>
        <w:t>、安监部门要求的《检测报告》，存在问题的应提供《防雷装置整改建议书》</w:t>
      </w:r>
      <w:r>
        <w:rPr>
          <w:rFonts w:hint="eastAsia"/>
          <w:color w:val="000000"/>
          <w:szCs w:val="21"/>
        </w:rPr>
        <w:t>；对整改完成的设备乙方免费提供检测服务</w:t>
      </w:r>
      <w:r>
        <w:rPr>
          <w:color w:val="000000"/>
          <w:szCs w:val="21"/>
        </w:rPr>
        <w:t>。</w:t>
      </w:r>
    </w:p>
    <w:p>
      <w:pPr>
        <w:spacing w:line="440" w:lineRule="exact"/>
        <w:ind w:firstLine="420" w:firstLineChars="200"/>
        <w:jc w:val="left"/>
        <w:rPr>
          <w:color w:val="000000"/>
          <w:szCs w:val="21"/>
        </w:rPr>
      </w:pPr>
      <w:r>
        <w:rPr>
          <w:color w:val="000000"/>
          <w:szCs w:val="21"/>
        </w:rPr>
        <w:t>二、服务方式</w:t>
      </w:r>
    </w:p>
    <w:p>
      <w:pPr>
        <w:spacing w:line="440" w:lineRule="exact"/>
        <w:ind w:firstLine="420" w:firstLineChars="200"/>
        <w:jc w:val="left"/>
        <w:rPr>
          <w:color w:val="000000"/>
          <w:szCs w:val="21"/>
        </w:rPr>
      </w:pPr>
      <w:r>
        <w:rPr>
          <w:color w:val="000000"/>
          <w:szCs w:val="21"/>
        </w:rPr>
        <w:t>乙方派技术人员严格按照国家和行业标准到甲方项目现场采用实测方式进行防雷装置检测。</w:t>
      </w:r>
    </w:p>
    <w:p>
      <w:pPr>
        <w:spacing w:line="440" w:lineRule="exact"/>
        <w:ind w:firstLine="420" w:firstLineChars="200"/>
        <w:jc w:val="left"/>
        <w:rPr>
          <w:color w:val="000000"/>
          <w:szCs w:val="21"/>
        </w:rPr>
      </w:pPr>
      <w:r>
        <w:rPr>
          <w:color w:val="000000"/>
          <w:szCs w:val="21"/>
        </w:rPr>
        <w:t>三、服务要求</w:t>
      </w:r>
    </w:p>
    <w:p>
      <w:pPr>
        <w:spacing w:line="440" w:lineRule="exact"/>
        <w:ind w:firstLine="420" w:firstLineChars="200"/>
        <w:jc w:val="left"/>
        <w:rPr>
          <w:color w:val="000000"/>
          <w:szCs w:val="21"/>
        </w:rPr>
      </w:pPr>
      <w:r>
        <w:rPr>
          <w:rFonts w:hint="eastAsia"/>
          <w:color w:val="000000"/>
          <w:szCs w:val="21"/>
        </w:rPr>
        <w:t>1.乙方应当在本合同签订后3天内编制完成《检测作业方案》，至少包含检测的顺序、时间计划安排、期限、内容、技术标准、须甲方配合的事项等，经甲方审查后的《检测作业方案》作为合同附件。</w:t>
      </w:r>
    </w:p>
    <w:p>
      <w:pPr>
        <w:spacing w:line="440" w:lineRule="exact"/>
        <w:ind w:firstLine="420" w:firstLineChars="200"/>
        <w:jc w:val="left"/>
        <w:rPr>
          <w:color w:val="000000"/>
          <w:szCs w:val="21"/>
        </w:rPr>
      </w:pPr>
      <w:r>
        <w:rPr>
          <w:rFonts w:hint="eastAsia"/>
          <w:color w:val="000000"/>
          <w:szCs w:val="21"/>
        </w:rPr>
        <w:t>2.</w:t>
      </w:r>
      <w:r>
        <w:rPr>
          <w:color w:val="000000"/>
          <w:szCs w:val="21"/>
        </w:rPr>
        <w:t>甲方</w:t>
      </w:r>
      <w:r>
        <w:rPr>
          <w:rFonts w:hint="eastAsia"/>
          <w:color w:val="000000"/>
          <w:szCs w:val="21"/>
        </w:rPr>
        <w:t>有权</w:t>
      </w:r>
      <w:r>
        <w:rPr>
          <w:color w:val="000000"/>
          <w:szCs w:val="21"/>
        </w:rPr>
        <w:t>按</w:t>
      </w:r>
      <w:r>
        <w:rPr>
          <w:rFonts w:hint="eastAsia"/>
          <w:color w:val="000000"/>
          <w:szCs w:val="21"/>
        </w:rPr>
        <w:t>《</w:t>
      </w:r>
      <w:r>
        <w:rPr>
          <w:color w:val="000000"/>
          <w:szCs w:val="21"/>
        </w:rPr>
        <w:t>检测作业方案</w:t>
      </w:r>
      <w:r>
        <w:rPr>
          <w:rFonts w:hint="eastAsia"/>
          <w:color w:val="000000"/>
          <w:szCs w:val="21"/>
        </w:rPr>
        <w:t>》</w:t>
      </w:r>
      <w:r>
        <w:rPr>
          <w:color w:val="000000"/>
          <w:szCs w:val="21"/>
        </w:rPr>
        <w:t>中确定的内容，提前3天通知乙方赴现场检测</w:t>
      </w:r>
      <w:r>
        <w:rPr>
          <w:rFonts w:hint="eastAsia"/>
          <w:color w:val="000000"/>
          <w:szCs w:val="21"/>
        </w:rPr>
        <w:t>，乙方应当在甲方要求的期限内进场开展工作</w:t>
      </w:r>
      <w:r>
        <w:rPr>
          <w:color w:val="000000"/>
          <w:szCs w:val="21"/>
        </w:rPr>
        <w:t>。</w:t>
      </w:r>
    </w:p>
    <w:p>
      <w:pPr>
        <w:spacing w:line="440" w:lineRule="exact"/>
        <w:jc w:val="left"/>
        <w:rPr>
          <w:b/>
          <w:color w:val="000000"/>
          <w:szCs w:val="21"/>
        </w:rPr>
      </w:pPr>
      <w:r>
        <w:rPr>
          <w:b/>
          <w:color w:val="000000"/>
          <w:szCs w:val="21"/>
        </w:rPr>
        <w:t>第三条  工作条件和协作事项</w:t>
      </w:r>
    </w:p>
    <w:p>
      <w:pPr>
        <w:spacing w:line="440" w:lineRule="exact"/>
        <w:ind w:firstLine="420" w:firstLineChars="200"/>
        <w:jc w:val="left"/>
        <w:rPr>
          <w:color w:val="000000"/>
          <w:szCs w:val="21"/>
        </w:rPr>
      </w:pPr>
      <w:r>
        <w:rPr>
          <w:color w:val="000000"/>
          <w:szCs w:val="21"/>
        </w:rPr>
        <w:t>一、联系人</w:t>
      </w:r>
    </w:p>
    <w:p>
      <w:pPr>
        <w:spacing w:line="440" w:lineRule="exact"/>
        <w:ind w:firstLine="420" w:firstLineChars="200"/>
        <w:jc w:val="left"/>
        <w:rPr>
          <w:color w:val="000000"/>
          <w:szCs w:val="21"/>
        </w:rPr>
      </w:pPr>
      <w:r>
        <w:rPr>
          <w:color w:val="000000"/>
          <w:szCs w:val="21"/>
        </w:rPr>
        <w:t>甲方工作联系人：</w:t>
      </w:r>
    </w:p>
    <w:p>
      <w:pPr>
        <w:spacing w:line="440" w:lineRule="exact"/>
        <w:ind w:firstLine="420" w:firstLineChars="200"/>
        <w:jc w:val="left"/>
        <w:rPr>
          <w:color w:val="000000"/>
          <w:szCs w:val="21"/>
        </w:rPr>
      </w:pPr>
      <w:r>
        <w:rPr>
          <w:color w:val="000000"/>
          <w:szCs w:val="21"/>
        </w:rPr>
        <w:t>联系电话：</w:t>
      </w:r>
    </w:p>
    <w:p>
      <w:pPr>
        <w:spacing w:line="440" w:lineRule="exact"/>
        <w:ind w:firstLine="420" w:firstLineChars="200"/>
        <w:jc w:val="left"/>
        <w:rPr>
          <w:color w:val="000000"/>
          <w:szCs w:val="21"/>
        </w:rPr>
      </w:pPr>
      <w:r>
        <w:rPr>
          <w:rFonts w:hint="eastAsia"/>
          <w:color w:val="000000"/>
          <w:szCs w:val="21"/>
        </w:rPr>
        <w:t>联系地址：</w:t>
      </w:r>
    </w:p>
    <w:p>
      <w:pPr>
        <w:spacing w:line="440" w:lineRule="exact"/>
        <w:ind w:firstLine="420" w:firstLineChars="200"/>
        <w:jc w:val="left"/>
        <w:rPr>
          <w:color w:val="000000"/>
          <w:szCs w:val="21"/>
        </w:rPr>
      </w:pPr>
      <w:r>
        <w:rPr>
          <w:color w:val="000000"/>
          <w:szCs w:val="21"/>
        </w:rPr>
        <w:t>乙方工作联系人：</w:t>
      </w:r>
    </w:p>
    <w:p>
      <w:pPr>
        <w:spacing w:line="440" w:lineRule="exact"/>
        <w:ind w:firstLine="420" w:firstLineChars="200"/>
        <w:jc w:val="left"/>
        <w:rPr>
          <w:color w:val="000000"/>
          <w:szCs w:val="21"/>
        </w:rPr>
      </w:pPr>
      <w:r>
        <w:rPr>
          <w:color w:val="000000"/>
          <w:szCs w:val="21"/>
        </w:rPr>
        <w:t>联系电话：</w:t>
      </w:r>
    </w:p>
    <w:p>
      <w:pPr>
        <w:spacing w:line="440" w:lineRule="exact"/>
        <w:ind w:firstLine="420" w:firstLineChars="200"/>
        <w:jc w:val="left"/>
        <w:rPr>
          <w:color w:val="000000"/>
          <w:szCs w:val="21"/>
        </w:rPr>
      </w:pPr>
      <w:r>
        <w:rPr>
          <w:rFonts w:hint="eastAsia"/>
          <w:color w:val="000000"/>
          <w:szCs w:val="21"/>
        </w:rPr>
        <w:t>联系地址：</w:t>
      </w:r>
    </w:p>
    <w:p>
      <w:pPr>
        <w:spacing w:line="440" w:lineRule="exact"/>
        <w:ind w:firstLine="420" w:firstLineChars="200"/>
        <w:jc w:val="left"/>
        <w:rPr>
          <w:color w:val="000000"/>
          <w:szCs w:val="21"/>
        </w:rPr>
      </w:pPr>
      <w:r>
        <w:rPr>
          <w:rFonts w:hint="eastAsia"/>
          <w:color w:val="000000"/>
          <w:szCs w:val="21"/>
        </w:rPr>
        <w:t>二、本合同签订后，乙方应当在1个工作日内向甲方提出开展检测所需的配合事项、《资料清单》，甲方应当在收到清单后及时提供资料并在乙方开展工作时予以配合。若乙方提出的配合事项、《资料清单》等不清晰、不完整，导致甲方无法及时配合或需要重新补充资料的，不作为相关合同期限延长的事由。</w:t>
      </w:r>
    </w:p>
    <w:p>
      <w:pPr>
        <w:spacing w:line="440" w:lineRule="exact"/>
        <w:ind w:firstLine="422" w:firstLineChars="200"/>
        <w:jc w:val="left"/>
        <w:rPr>
          <w:b/>
          <w:bCs/>
          <w:color w:val="000000"/>
          <w:szCs w:val="21"/>
        </w:rPr>
      </w:pPr>
      <w:r>
        <w:rPr>
          <w:rFonts w:hint="eastAsia"/>
          <w:b/>
          <w:bCs/>
          <w:color w:val="000000"/>
          <w:szCs w:val="21"/>
        </w:rPr>
        <w:t>三、乙方应在合同签订前需配置2名具备雷电防护装置检测能力的专业技术人员，并向甲方提供下列证明材料供甲方审核。若乙方未能提供或未能通过审核的，甲方有权拒绝签订合同并要求乙方承担甲方委托第三方开展工作而增加的费用，若合同已经签订的则甲方有权解除合同。</w:t>
      </w:r>
    </w:p>
    <w:p>
      <w:pPr>
        <w:spacing w:line="440" w:lineRule="exact"/>
        <w:ind w:firstLine="422" w:firstLineChars="200"/>
        <w:jc w:val="left"/>
        <w:rPr>
          <w:b/>
          <w:color w:val="000000"/>
          <w:szCs w:val="21"/>
        </w:rPr>
      </w:pPr>
      <w:r>
        <w:rPr>
          <w:rFonts w:hint="eastAsia"/>
          <w:b/>
          <w:color w:val="000000"/>
          <w:szCs w:val="21"/>
        </w:rPr>
        <w:t>（</w:t>
      </w:r>
      <w:r>
        <w:rPr>
          <w:b/>
          <w:color w:val="000000"/>
          <w:szCs w:val="21"/>
        </w:rPr>
        <w:t>1）</w:t>
      </w:r>
      <w:r>
        <w:rPr>
          <w:rFonts w:hint="eastAsia"/>
          <w:b/>
          <w:color w:val="000000"/>
          <w:szCs w:val="21"/>
        </w:rPr>
        <w:t>该2名技术人员持有证书须具有高处作业证书和电工证书（具体持有人员、数量不另做要求）；</w:t>
      </w:r>
    </w:p>
    <w:p>
      <w:pPr>
        <w:spacing w:line="440" w:lineRule="exact"/>
        <w:ind w:firstLine="422" w:firstLineChars="200"/>
        <w:jc w:val="left"/>
        <w:rPr>
          <w:b/>
          <w:color w:val="000000"/>
          <w:szCs w:val="21"/>
          <w:u w:val="single"/>
        </w:rPr>
      </w:pPr>
      <w:r>
        <w:rPr>
          <w:rFonts w:hint="eastAsia"/>
          <w:b/>
          <w:color w:val="000000"/>
          <w:szCs w:val="21"/>
        </w:rPr>
        <w:t>（2</w:t>
      </w:r>
      <w:r>
        <w:rPr>
          <w:b/>
          <w:color w:val="000000"/>
          <w:szCs w:val="21"/>
        </w:rPr>
        <w:t>）</w:t>
      </w:r>
      <w:r>
        <w:rPr>
          <w:rFonts w:hint="eastAsia"/>
          <w:b/>
          <w:color w:val="000000"/>
          <w:szCs w:val="21"/>
        </w:rPr>
        <w:t>提供比选申请截止日所在月上个月或上上个月开始往</w:t>
      </w:r>
      <w:r>
        <w:rPr>
          <w:b/>
          <w:color w:val="000000"/>
          <w:szCs w:val="21"/>
        </w:rPr>
        <w:t>前</w:t>
      </w:r>
      <w:r>
        <w:rPr>
          <w:rFonts w:hint="eastAsia"/>
          <w:b/>
          <w:color w:val="000000"/>
          <w:szCs w:val="21"/>
        </w:rPr>
        <w:t>连续至少</w:t>
      </w:r>
      <w:r>
        <w:rPr>
          <w:b/>
          <w:color w:val="000000"/>
          <w:szCs w:val="21"/>
        </w:rPr>
        <w:t>6个月在</w:t>
      </w:r>
      <w:r>
        <w:rPr>
          <w:rFonts w:hint="eastAsia"/>
          <w:b/>
          <w:color w:val="000000"/>
          <w:szCs w:val="21"/>
        </w:rPr>
        <w:t>乙方单位</w:t>
      </w:r>
      <w:r>
        <w:rPr>
          <w:b/>
          <w:color w:val="000000"/>
          <w:szCs w:val="21"/>
        </w:rPr>
        <w:t>养老保险缴纳凭证或社保部门出具的在</w:t>
      </w:r>
      <w:r>
        <w:rPr>
          <w:rFonts w:hint="eastAsia"/>
          <w:b/>
          <w:color w:val="000000"/>
          <w:szCs w:val="21"/>
        </w:rPr>
        <w:t>乙方</w:t>
      </w:r>
      <w:r>
        <w:rPr>
          <w:b/>
          <w:color w:val="000000"/>
          <w:szCs w:val="21"/>
        </w:rPr>
        <w:t>单位参保的证明。</w:t>
      </w:r>
    </w:p>
    <w:p>
      <w:pPr>
        <w:spacing w:line="440" w:lineRule="exact"/>
        <w:ind w:firstLine="420" w:firstLineChars="200"/>
        <w:jc w:val="left"/>
        <w:rPr>
          <w:color w:val="000000"/>
          <w:szCs w:val="21"/>
        </w:rPr>
      </w:pPr>
      <w:r>
        <w:rPr>
          <w:rFonts w:hint="eastAsia"/>
          <w:color w:val="000000"/>
          <w:szCs w:val="21"/>
        </w:rPr>
        <w:t>四、</w:t>
      </w:r>
      <w:r>
        <w:rPr>
          <w:color w:val="000000"/>
          <w:szCs w:val="21"/>
        </w:rPr>
        <w:t>乙方应严格按照安全生产有关条款</w:t>
      </w:r>
      <w:r>
        <w:rPr>
          <w:rFonts w:hint="eastAsia"/>
          <w:color w:val="000000"/>
          <w:szCs w:val="21"/>
        </w:rPr>
        <w:t>、规定</w:t>
      </w:r>
      <w:r>
        <w:rPr>
          <w:color w:val="000000"/>
          <w:szCs w:val="21"/>
        </w:rPr>
        <w:t>进入现场实施检测，</w:t>
      </w:r>
      <w:r>
        <w:rPr>
          <w:rFonts w:hint="eastAsia"/>
          <w:color w:val="000000"/>
          <w:szCs w:val="21"/>
        </w:rPr>
        <w:t>并遵守甲方、主管部门的安全管理制度及规定，</w:t>
      </w:r>
      <w:r>
        <w:rPr>
          <w:color w:val="000000"/>
          <w:szCs w:val="21"/>
        </w:rPr>
        <w:t>协议履行过程中发生的安全事故和人身财产侵权事故由乙方承担。</w:t>
      </w:r>
    </w:p>
    <w:p>
      <w:pPr>
        <w:spacing w:line="440" w:lineRule="exact"/>
        <w:ind w:firstLine="420" w:firstLineChars="200"/>
        <w:jc w:val="left"/>
        <w:rPr>
          <w:color w:val="000000"/>
          <w:szCs w:val="21"/>
        </w:rPr>
      </w:pPr>
      <w:r>
        <w:rPr>
          <w:rFonts w:hint="eastAsia"/>
          <w:color w:val="000000"/>
          <w:szCs w:val="21"/>
        </w:rPr>
        <w:t>五</w:t>
      </w:r>
      <w:r>
        <w:rPr>
          <w:color w:val="000000"/>
          <w:szCs w:val="21"/>
        </w:rPr>
        <w:t>、乙方检测过程中应妥善看管检测设备设施，并在检测完毕后立即清理现场。由于乙方检测设备瑕疵缺陷或清理工作不彻底导致的甲方或甲方被第三方追偿、索赔、求偿或罚款，由乙方承担。</w:t>
      </w:r>
      <w:r>
        <w:rPr>
          <w:rFonts w:hint="eastAsia"/>
          <w:color w:val="000000"/>
          <w:szCs w:val="21"/>
        </w:rPr>
        <w:t>且甲方有权自行或委托第三方清理现场，由此产生的费用由乙方承担。</w:t>
      </w:r>
    </w:p>
    <w:p>
      <w:pPr>
        <w:pStyle w:val="2"/>
        <w:rPr>
          <w:rFonts w:ascii="Times New Roman" w:hAnsi="Times New Roman" w:eastAsia="宋体"/>
          <w:color w:val="000000"/>
          <w:sz w:val="21"/>
          <w:szCs w:val="21"/>
        </w:rPr>
      </w:pPr>
      <w:r>
        <w:rPr>
          <w:rFonts w:ascii="Times New Roman" w:hAnsi="Times New Roman" w:eastAsia="宋体"/>
          <w:color w:val="000000"/>
          <w:sz w:val="21"/>
          <w:szCs w:val="21"/>
        </w:rPr>
        <w:t>乙方保证提供给甲方的服务不得侵犯任何第三方的合法权益。如出现第三方对乙方的服务提出异议或权利主张的</w:t>
      </w:r>
      <w:r>
        <w:rPr>
          <w:rFonts w:hint="eastAsia" w:ascii="Times New Roman" w:hAnsi="Times New Roman" w:eastAsia="宋体"/>
          <w:color w:val="000000"/>
          <w:sz w:val="21"/>
          <w:szCs w:val="21"/>
        </w:rPr>
        <w:t>，</w:t>
      </w:r>
      <w:r>
        <w:rPr>
          <w:rFonts w:ascii="Times New Roman" w:hAnsi="Times New Roman" w:eastAsia="宋体"/>
          <w:color w:val="000000"/>
          <w:sz w:val="21"/>
          <w:szCs w:val="21"/>
        </w:rPr>
        <w:t>甲方有权拒绝并立即通知乙方</w:t>
      </w:r>
      <w:r>
        <w:rPr>
          <w:rFonts w:hint="eastAsia" w:ascii="Times New Roman" w:hAnsi="Times New Roman" w:eastAsia="宋体"/>
          <w:color w:val="000000"/>
          <w:sz w:val="21"/>
          <w:szCs w:val="21"/>
        </w:rPr>
        <w:t>，</w:t>
      </w:r>
      <w:r>
        <w:rPr>
          <w:rFonts w:ascii="Times New Roman" w:hAnsi="Times New Roman" w:eastAsia="宋体"/>
          <w:color w:val="000000"/>
          <w:sz w:val="21"/>
          <w:szCs w:val="21"/>
        </w:rPr>
        <w:t>由乙方自行处理由此导致的问题。并且乙方应在自行承担相关费用的情况下按照甲方之要求采取必要的补救措施确保甲方的损失降至最低。若给甲方造成损失的，乙方应当子以赔偿。</w:t>
      </w:r>
    </w:p>
    <w:p>
      <w:pPr>
        <w:pStyle w:val="2"/>
        <w:rPr>
          <w:rFonts w:ascii="Times New Roman" w:hAnsi="Times New Roman" w:eastAsia="宋体"/>
          <w:color w:val="000000"/>
          <w:sz w:val="21"/>
          <w:szCs w:val="21"/>
        </w:rPr>
      </w:pPr>
      <w:r>
        <w:rPr>
          <w:rFonts w:hint="eastAsia" w:ascii="Times New Roman" w:hAnsi="Times New Roman" w:eastAsia="宋体"/>
          <w:color w:val="000000"/>
          <w:sz w:val="21"/>
          <w:szCs w:val="21"/>
        </w:rPr>
        <w:t>六、乙方项目负责人及甲方已批准的技术人员未经甲方同意，乙方不得擅自更换。否则甲方有权按照</w:t>
      </w:r>
      <w:r>
        <w:rPr>
          <w:rFonts w:hint="eastAsia" w:ascii="Times New Roman" w:hAnsi="Times New Roman" w:eastAsia="宋体"/>
          <w:color w:val="000000"/>
          <w:sz w:val="21"/>
          <w:szCs w:val="21"/>
          <w:u w:val="single"/>
        </w:rPr>
        <w:t>5000元/次</w:t>
      </w:r>
      <w:r>
        <w:rPr>
          <w:rFonts w:hint="eastAsia" w:ascii="Times New Roman" w:hAnsi="Times New Roman" w:eastAsia="宋体"/>
          <w:color w:val="000000"/>
          <w:sz w:val="21"/>
          <w:szCs w:val="21"/>
        </w:rPr>
        <w:t>的标准要求乙方支付违约金。</w:t>
      </w:r>
    </w:p>
    <w:p>
      <w:pPr>
        <w:spacing w:line="440" w:lineRule="exact"/>
        <w:jc w:val="left"/>
        <w:rPr>
          <w:b/>
          <w:color w:val="000000"/>
          <w:szCs w:val="21"/>
        </w:rPr>
      </w:pPr>
      <w:r>
        <w:rPr>
          <w:b/>
          <w:color w:val="000000"/>
          <w:szCs w:val="21"/>
        </w:rPr>
        <w:t>第四条  履行期限、地点和方式</w:t>
      </w:r>
    </w:p>
    <w:p>
      <w:pPr>
        <w:spacing w:line="440" w:lineRule="exact"/>
        <w:ind w:firstLine="420" w:firstLineChars="200"/>
        <w:jc w:val="left"/>
        <w:rPr>
          <w:color w:val="000000"/>
          <w:szCs w:val="21"/>
        </w:rPr>
      </w:pPr>
      <w:r>
        <w:rPr>
          <w:color w:val="000000"/>
          <w:szCs w:val="21"/>
        </w:rPr>
        <w:t>本协议履约期限以甲方下发检测通知后</w:t>
      </w:r>
      <w:r>
        <w:rPr>
          <w:rFonts w:hint="eastAsia"/>
          <w:color w:val="000000"/>
          <w:szCs w:val="21"/>
          <w:u w:val="single"/>
        </w:rPr>
        <w:t>30</w:t>
      </w:r>
      <w:r>
        <w:rPr>
          <w:color w:val="000000"/>
          <w:szCs w:val="21"/>
        </w:rPr>
        <w:t>日内完成检测并出具报告，在项目现场以实测方式履行。</w:t>
      </w:r>
    </w:p>
    <w:p>
      <w:pPr>
        <w:spacing w:line="440" w:lineRule="exact"/>
        <w:ind w:firstLine="420" w:firstLineChars="200"/>
        <w:jc w:val="left"/>
        <w:rPr>
          <w:color w:val="000000"/>
          <w:szCs w:val="21"/>
        </w:rPr>
      </w:pPr>
      <w:r>
        <w:rPr>
          <w:color w:val="000000"/>
          <w:szCs w:val="21"/>
        </w:rPr>
        <w:t>如因天气等不可抗力因素造成乙方无法进场检测，乙方应当通知甲方并提供佐证材料，经甲方审核通过后检测日期顺延。</w:t>
      </w:r>
    </w:p>
    <w:p>
      <w:pPr>
        <w:spacing w:line="440" w:lineRule="exact"/>
        <w:jc w:val="left"/>
        <w:rPr>
          <w:b/>
          <w:color w:val="000000"/>
          <w:szCs w:val="21"/>
        </w:rPr>
      </w:pPr>
      <w:r>
        <w:rPr>
          <w:b/>
          <w:color w:val="000000"/>
          <w:szCs w:val="21"/>
        </w:rPr>
        <w:t>第五条  服务费用及支付方式</w:t>
      </w:r>
    </w:p>
    <w:p>
      <w:pPr>
        <w:spacing w:line="440" w:lineRule="exact"/>
        <w:ind w:firstLine="420" w:firstLineChars="200"/>
        <w:jc w:val="left"/>
        <w:rPr>
          <w:color w:val="000000"/>
          <w:szCs w:val="21"/>
        </w:rPr>
      </w:pPr>
      <w:r>
        <w:rPr>
          <w:color w:val="000000"/>
          <w:szCs w:val="21"/>
        </w:rPr>
        <w:t>（一）防雷装置定期检测项目检测服务费总计人民币：</w:t>
      </w:r>
      <w:r>
        <w:rPr>
          <w:rFonts w:hint="eastAsia"/>
          <w:color w:val="000000"/>
          <w:szCs w:val="21"/>
          <w:u w:val="single"/>
          <w:lang w:val="en-US" w:eastAsia="zh-CN"/>
        </w:rPr>
        <w:t xml:space="preserve">     </w:t>
      </w:r>
      <w:r>
        <w:rPr>
          <w:color w:val="000000"/>
          <w:szCs w:val="21"/>
        </w:rPr>
        <w:t>元（大写：</w:t>
      </w:r>
      <w:r>
        <w:rPr>
          <w:rFonts w:hint="eastAsia"/>
          <w:color w:val="000000"/>
          <w:szCs w:val="21"/>
          <w:u w:val="single"/>
          <w:lang w:val="en-US" w:eastAsia="zh-CN"/>
        </w:rPr>
        <w:t xml:space="preserve">     </w:t>
      </w:r>
      <w:r>
        <w:rPr>
          <w:color w:val="000000"/>
          <w:szCs w:val="21"/>
        </w:rPr>
        <w:t>元整）。该费用</w:t>
      </w:r>
      <w:r>
        <w:rPr>
          <w:rFonts w:hint="eastAsia"/>
          <w:color w:val="000000"/>
          <w:szCs w:val="21"/>
        </w:rPr>
        <w:t>为含税包干总价，</w:t>
      </w:r>
      <w:r>
        <w:rPr>
          <w:color w:val="000000"/>
          <w:szCs w:val="21"/>
        </w:rPr>
        <w:t>包含但不限于乙方为实施和完成本协议工作所需人工、材料、机械设备、仪器使用、</w:t>
      </w:r>
      <w:r>
        <w:rPr>
          <w:rFonts w:hint="eastAsia"/>
          <w:color w:val="000000"/>
          <w:szCs w:val="21"/>
        </w:rPr>
        <w:t>交通、</w:t>
      </w:r>
      <w:r>
        <w:rPr>
          <w:color w:val="000000"/>
          <w:szCs w:val="21"/>
        </w:rPr>
        <w:t>管理、利润、保险、安全、协调、税金等所有的费用</w:t>
      </w:r>
      <w:r>
        <w:rPr>
          <w:rFonts w:hint="eastAsia"/>
          <w:color w:val="000000"/>
          <w:szCs w:val="21"/>
        </w:rPr>
        <w:t>，</w:t>
      </w:r>
      <w:r>
        <w:rPr>
          <w:rFonts w:hint="eastAsia" w:ascii="宋体" w:hAnsi="宋体" w:cs="宋体"/>
          <w:color w:val="000000"/>
          <w:szCs w:val="21"/>
        </w:rPr>
        <w:t>也包括</w:t>
      </w:r>
      <w:r>
        <w:rPr>
          <w:rFonts w:hint="eastAsia" w:ascii="宋体" w:hAnsi="宋体" w:cs="宋体"/>
          <w:szCs w:val="21"/>
        </w:rPr>
        <w:t>已检测项目的多次复测费用</w:t>
      </w:r>
      <w:r>
        <w:rPr>
          <w:color w:val="000000"/>
          <w:szCs w:val="21"/>
        </w:rPr>
        <w:t>，任何影响合同价款的因素均属于乙方承担的风险范围，甲方不再另行支付乙方任何价款</w:t>
      </w:r>
      <w:r>
        <w:rPr>
          <w:rFonts w:hint="eastAsia"/>
          <w:color w:val="000000"/>
          <w:szCs w:val="21"/>
        </w:rPr>
        <w:t>。</w:t>
      </w:r>
    </w:p>
    <w:p>
      <w:pPr>
        <w:pStyle w:val="2"/>
        <w:spacing w:line="440" w:lineRule="exact"/>
        <w:rPr>
          <w:rFonts w:hAnsi="宋体" w:eastAsia="宋体" w:cs="宋体"/>
          <w:color w:val="000000"/>
          <w:sz w:val="21"/>
          <w:szCs w:val="21"/>
        </w:rPr>
      </w:pPr>
      <w:r>
        <w:rPr>
          <w:rFonts w:hint="eastAsia" w:hAnsi="宋体" w:eastAsia="宋体" w:cs="宋体"/>
          <w:sz w:val="21"/>
          <w:szCs w:val="21"/>
        </w:rPr>
        <w:t>（二）</w:t>
      </w:r>
      <w:r>
        <w:rPr>
          <w:rFonts w:hint="eastAsia" w:hAnsi="宋体" w:eastAsia="宋体" w:cs="宋体"/>
          <w:color w:val="000000"/>
          <w:kern w:val="0"/>
          <w:sz w:val="21"/>
          <w:szCs w:val="21"/>
        </w:rPr>
        <w:t>防雷检测清单表</w:t>
      </w:r>
      <w:r>
        <w:rPr>
          <w:rFonts w:hint="eastAsia" w:hAnsi="宋体" w:eastAsia="宋体" w:cs="宋体"/>
          <w:color w:val="000000"/>
          <w:sz w:val="21"/>
          <w:szCs w:val="21"/>
        </w:rPr>
        <w:t>。</w:t>
      </w:r>
    </w:p>
    <w:p>
      <w:pPr>
        <w:pStyle w:val="2"/>
        <w:spacing w:line="440" w:lineRule="exact"/>
        <w:rPr>
          <w:rFonts w:hAnsi="宋体" w:eastAsia="宋体" w:cs="宋体"/>
          <w:sz w:val="21"/>
          <w:szCs w:val="21"/>
        </w:rPr>
      </w:pPr>
      <w:r>
        <w:rPr>
          <w:rFonts w:hint="eastAsia" w:hAnsi="宋体" w:eastAsia="宋体" w:cs="宋体"/>
          <w:kern w:val="0"/>
          <w:sz w:val="21"/>
          <w:szCs w:val="21"/>
        </w:rPr>
        <w:t>另附。</w:t>
      </w:r>
    </w:p>
    <w:p>
      <w:pPr>
        <w:spacing w:line="440" w:lineRule="exact"/>
        <w:ind w:firstLine="420" w:firstLineChars="200"/>
        <w:jc w:val="left"/>
        <w:rPr>
          <w:szCs w:val="21"/>
        </w:rPr>
      </w:pPr>
      <w:r>
        <w:rPr>
          <w:color w:val="000000"/>
          <w:szCs w:val="21"/>
        </w:rPr>
        <w:t>（三）</w:t>
      </w:r>
      <w:r>
        <w:rPr>
          <w:szCs w:val="21"/>
        </w:rPr>
        <w:t>协议双方约定按照以下方式进行支付：协议签订，甲方收到乙方出具的</w:t>
      </w:r>
      <w:r>
        <w:rPr>
          <w:rFonts w:hint="eastAsia"/>
          <w:szCs w:val="21"/>
        </w:rPr>
        <w:t>全部符合合同约定的</w:t>
      </w:r>
      <w:r>
        <w:rPr>
          <w:szCs w:val="21"/>
        </w:rPr>
        <w:t>《检测报告》</w:t>
      </w:r>
      <w:r>
        <w:rPr>
          <w:rFonts w:hint="eastAsia"/>
          <w:szCs w:val="21"/>
        </w:rPr>
        <w:t>以及发票</w:t>
      </w:r>
      <w:r>
        <w:rPr>
          <w:szCs w:val="21"/>
        </w:rPr>
        <w:t>后，甲方于15个工作日内付清本次检测费用</w:t>
      </w:r>
      <w:r>
        <w:rPr>
          <w:color w:val="000000"/>
          <w:szCs w:val="21"/>
        </w:rPr>
        <w:t>。</w:t>
      </w:r>
    </w:p>
    <w:p>
      <w:pPr>
        <w:spacing w:line="440" w:lineRule="exact"/>
        <w:ind w:firstLine="420" w:firstLineChars="200"/>
        <w:jc w:val="left"/>
        <w:rPr>
          <w:color w:val="000000"/>
          <w:szCs w:val="21"/>
        </w:rPr>
      </w:pPr>
      <w:r>
        <w:rPr>
          <w:szCs w:val="21"/>
        </w:rPr>
        <w:t>（四）甲方付款前，</w:t>
      </w:r>
      <w:r>
        <w:rPr>
          <w:color w:val="000000"/>
          <w:szCs w:val="21"/>
        </w:rPr>
        <w:t>乙方应向甲方开具等额、合法的增值税发票，否则甲方有权拒绝付款，且不承担因此产生的逾期付款等违约责任。甲方应向乙方提供准确的开票资料。开票信息如下：</w:t>
      </w:r>
    </w:p>
    <w:p>
      <w:pPr>
        <w:spacing w:line="440" w:lineRule="exact"/>
        <w:jc w:val="left"/>
        <w:rPr>
          <w:rFonts w:hint="default" w:eastAsia="宋体"/>
          <w:color w:val="000000"/>
          <w:szCs w:val="21"/>
          <w:u w:val="single"/>
          <w:lang w:val="en-US" w:eastAsia="zh-CN"/>
        </w:rPr>
      </w:pPr>
      <w:r>
        <w:rPr>
          <w:color w:val="000000"/>
          <w:szCs w:val="21"/>
        </w:rPr>
        <w:t>单位名称：</w:t>
      </w:r>
      <w:r>
        <w:rPr>
          <w:rFonts w:hint="eastAsia"/>
          <w:color w:val="000000"/>
          <w:szCs w:val="21"/>
          <w:u w:val="single"/>
          <w:lang w:val="en-US" w:eastAsia="zh-CN"/>
        </w:rPr>
        <w:t xml:space="preserve">            </w:t>
      </w:r>
    </w:p>
    <w:p>
      <w:pPr>
        <w:spacing w:line="440" w:lineRule="exact"/>
        <w:jc w:val="left"/>
        <w:rPr>
          <w:rFonts w:hint="eastAsia" w:eastAsia="宋体"/>
          <w:color w:val="000000"/>
          <w:szCs w:val="21"/>
          <w:u w:val="single"/>
          <w:lang w:val="en-US" w:eastAsia="zh-CN"/>
        </w:rPr>
      </w:pPr>
      <w:r>
        <w:rPr>
          <w:color w:val="000000"/>
          <w:szCs w:val="21"/>
        </w:rPr>
        <w:t>税号：</w:t>
      </w:r>
      <w:r>
        <w:rPr>
          <w:rFonts w:hint="eastAsia"/>
          <w:color w:val="000000"/>
          <w:szCs w:val="21"/>
          <w:u w:val="single"/>
          <w:lang w:val="en-US" w:eastAsia="zh-CN"/>
        </w:rPr>
        <w:t xml:space="preserve">                </w:t>
      </w:r>
      <w:r>
        <w:rPr>
          <w:rFonts w:hint="eastAsia"/>
          <w:color w:val="000000"/>
          <w:szCs w:val="21"/>
          <w:lang w:val="en-US" w:eastAsia="zh-CN"/>
        </w:rPr>
        <w:t xml:space="preserve"> </w:t>
      </w:r>
    </w:p>
    <w:p>
      <w:pPr>
        <w:spacing w:line="440" w:lineRule="exact"/>
        <w:ind w:left="630" w:hanging="630" w:hangingChars="300"/>
        <w:jc w:val="left"/>
        <w:rPr>
          <w:rFonts w:hint="default" w:eastAsia="宋体"/>
          <w:color w:val="000000"/>
          <w:szCs w:val="21"/>
          <w:u w:val="single"/>
          <w:lang w:val="en-US" w:eastAsia="zh-CN"/>
        </w:rPr>
      </w:pPr>
      <w:r>
        <w:rPr>
          <w:color w:val="000000"/>
          <w:szCs w:val="21"/>
        </w:rPr>
        <w:t>地址：</w:t>
      </w:r>
      <w:r>
        <w:rPr>
          <w:rFonts w:hint="eastAsia"/>
          <w:color w:val="000000"/>
          <w:szCs w:val="21"/>
          <w:u w:val="single"/>
          <w:lang w:val="en-US" w:eastAsia="zh-CN"/>
        </w:rPr>
        <w:t xml:space="preserve">                </w:t>
      </w:r>
    </w:p>
    <w:p>
      <w:pPr>
        <w:spacing w:line="440" w:lineRule="exact"/>
        <w:jc w:val="left"/>
        <w:rPr>
          <w:rFonts w:hint="default" w:eastAsia="宋体"/>
          <w:color w:val="000000"/>
          <w:szCs w:val="21"/>
          <w:u w:val="single"/>
          <w:lang w:val="en-US" w:eastAsia="zh-CN"/>
        </w:rPr>
      </w:pPr>
      <w:r>
        <w:rPr>
          <w:color w:val="000000"/>
          <w:szCs w:val="21"/>
        </w:rPr>
        <w:t>开户银行：</w:t>
      </w:r>
      <w:r>
        <w:rPr>
          <w:rFonts w:hint="eastAsia"/>
          <w:color w:val="000000"/>
          <w:szCs w:val="21"/>
          <w:u w:val="single"/>
          <w:lang w:val="en-US" w:eastAsia="zh-CN"/>
        </w:rPr>
        <w:t xml:space="preserve">             </w:t>
      </w:r>
    </w:p>
    <w:p>
      <w:pPr>
        <w:spacing w:line="440" w:lineRule="exact"/>
        <w:jc w:val="left"/>
        <w:rPr>
          <w:rFonts w:hint="default" w:eastAsia="宋体"/>
          <w:color w:val="000000"/>
          <w:szCs w:val="21"/>
          <w:u w:val="single"/>
          <w:lang w:val="en-US" w:eastAsia="zh-CN"/>
        </w:rPr>
      </w:pPr>
      <w:r>
        <w:rPr>
          <w:color w:val="000000"/>
          <w:szCs w:val="21"/>
        </w:rPr>
        <w:t>开户账号：</w:t>
      </w:r>
      <w:r>
        <w:rPr>
          <w:rFonts w:hint="eastAsia"/>
          <w:color w:val="000000"/>
          <w:szCs w:val="21"/>
          <w:u w:val="single"/>
          <w:lang w:val="en-US" w:eastAsia="zh-CN"/>
        </w:rPr>
        <w:t xml:space="preserve">            </w:t>
      </w:r>
    </w:p>
    <w:p>
      <w:pPr>
        <w:spacing w:line="440" w:lineRule="exact"/>
        <w:jc w:val="left"/>
        <w:rPr>
          <w:rFonts w:hint="default" w:eastAsia="宋体"/>
          <w:color w:val="000000"/>
          <w:szCs w:val="21"/>
          <w:u w:val="single"/>
          <w:lang w:val="en-US" w:eastAsia="zh-CN"/>
        </w:rPr>
      </w:pPr>
      <w:r>
        <w:rPr>
          <w:color w:val="000000"/>
          <w:szCs w:val="21"/>
        </w:rPr>
        <w:t>电话：</w:t>
      </w:r>
      <w:r>
        <w:rPr>
          <w:rFonts w:hint="eastAsia"/>
          <w:color w:val="000000"/>
          <w:szCs w:val="21"/>
          <w:u w:val="single"/>
          <w:lang w:val="en-US" w:eastAsia="zh-CN"/>
        </w:rPr>
        <w:t xml:space="preserve">                 </w:t>
      </w:r>
    </w:p>
    <w:p>
      <w:pPr>
        <w:spacing w:line="440" w:lineRule="exact"/>
        <w:ind w:firstLine="420" w:firstLineChars="200"/>
        <w:jc w:val="left"/>
        <w:rPr>
          <w:color w:val="000000"/>
          <w:szCs w:val="21"/>
        </w:rPr>
      </w:pPr>
      <w:r>
        <w:rPr>
          <w:color w:val="000000"/>
          <w:szCs w:val="21"/>
        </w:rPr>
        <w:t>（五）甲方应如期将服务费用转入乙方指定账户，</w:t>
      </w:r>
      <w:r>
        <w:rPr>
          <w:rFonts w:hint="eastAsia"/>
          <w:color w:val="000000"/>
          <w:szCs w:val="21"/>
        </w:rPr>
        <w:t>乙方</w:t>
      </w:r>
      <w:r>
        <w:rPr>
          <w:color w:val="000000"/>
          <w:szCs w:val="21"/>
        </w:rPr>
        <w:t>账户信息如下：</w:t>
      </w:r>
    </w:p>
    <w:p>
      <w:pPr>
        <w:spacing w:line="440" w:lineRule="exact"/>
        <w:jc w:val="left"/>
        <w:rPr>
          <w:rFonts w:hint="default" w:eastAsia="宋体"/>
          <w:color w:val="000000"/>
          <w:szCs w:val="21"/>
          <w:u w:val="single"/>
          <w:lang w:val="en-US" w:eastAsia="zh-CN"/>
        </w:rPr>
      </w:pPr>
      <w:r>
        <w:rPr>
          <w:color w:val="000000"/>
          <w:szCs w:val="21"/>
        </w:rPr>
        <w:t>户  名：</w:t>
      </w:r>
      <w:r>
        <w:rPr>
          <w:rFonts w:hint="eastAsia"/>
          <w:color w:val="000000"/>
          <w:szCs w:val="21"/>
          <w:u w:val="single"/>
          <w:lang w:val="en-US" w:eastAsia="zh-CN"/>
        </w:rPr>
        <w:t xml:space="preserve">              </w:t>
      </w:r>
    </w:p>
    <w:p>
      <w:pPr>
        <w:spacing w:line="440" w:lineRule="exact"/>
        <w:jc w:val="left"/>
        <w:rPr>
          <w:color w:val="000000"/>
          <w:szCs w:val="21"/>
        </w:rPr>
      </w:pPr>
      <w:r>
        <w:rPr>
          <w:color w:val="000000"/>
          <w:szCs w:val="21"/>
        </w:rPr>
        <w:t>开户行：</w:t>
      </w:r>
      <w:r>
        <w:rPr>
          <w:rFonts w:hint="eastAsia"/>
          <w:color w:val="000000"/>
          <w:szCs w:val="21"/>
          <w:u w:val="single"/>
          <w:lang w:val="en-US" w:eastAsia="zh-CN"/>
        </w:rPr>
        <w:t xml:space="preserve">              </w:t>
      </w:r>
      <w:r>
        <w:rPr>
          <w:color w:val="000000"/>
          <w:szCs w:val="21"/>
        </w:rPr>
        <w:t xml:space="preserve">    </w:t>
      </w:r>
    </w:p>
    <w:p>
      <w:pPr>
        <w:spacing w:line="440" w:lineRule="exact"/>
        <w:jc w:val="left"/>
        <w:rPr>
          <w:color w:val="000000"/>
          <w:szCs w:val="21"/>
        </w:rPr>
      </w:pPr>
      <w:r>
        <w:rPr>
          <w:color w:val="000000"/>
          <w:szCs w:val="21"/>
        </w:rPr>
        <w:t>账  号：</w:t>
      </w:r>
      <w:r>
        <w:rPr>
          <w:rFonts w:hint="eastAsia"/>
          <w:color w:val="000000"/>
          <w:szCs w:val="21"/>
          <w:u w:val="single"/>
          <w:lang w:val="en-US" w:eastAsia="zh-CN"/>
        </w:rPr>
        <w:t xml:space="preserve">              </w:t>
      </w:r>
      <w:r>
        <w:rPr>
          <w:color w:val="000000"/>
          <w:szCs w:val="21"/>
        </w:rPr>
        <w:t xml:space="preserve">    </w:t>
      </w:r>
    </w:p>
    <w:p>
      <w:pPr>
        <w:spacing w:line="440" w:lineRule="exact"/>
        <w:jc w:val="left"/>
        <w:rPr>
          <w:b/>
          <w:color w:val="000000"/>
          <w:szCs w:val="21"/>
        </w:rPr>
      </w:pPr>
      <w:r>
        <w:rPr>
          <w:b/>
          <w:color w:val="000000"/>
          <w:szCs w:val="21"/>
        </w:rPr>
        <w:t>第六条  违约金或者损失赔偿事宜</w:t>
      </w:r>
    </w:p>
    <w:p>
      <w:pPr>
        <w:spacing w:line="440" w:lineRule="exact"/>
        <w:ind w:firstLine="420" w:firstLineChars="200"/>
        <w:jc w:val="left"/>
        <w:rPr>
          <w:color w:val="000000"/>
          <w:szCs w:val="21"/>
        </w:rPr>
      </w:pPr>
      <w:r>
        <w:rPr>
          <w:color w:val="000000"/>
          <w:szCs w:val="21"/>
        </w:rPr>
        <w:t>一、因甲方未按协议约定提供有关技术资料、数据和工作条件，导致乙方无法按约定标准完成技术服务的，可顺延乙方工作期限</w:t>
      </w:r>
      <w:r>
        <w:rPr>
          <w:rFonts w:hint="eastAsia"/>
          <w:color w:val="000000"/>
          <w:szCs w:val="21"/>
        </w:rPr>
        <w:t>，但甲方不因此承担赔偿责任或额外支付其他费用</w:t>
      </w:r>
      <w:r>
        <w:rPr>
          <w:color w:val="000000"/>
          <w:szCs w:val="21"/>
        </w:rPr>
        <w:t>。</w:t>
      </w:r>
    </w:p>
    <w:p>
      <w:pPr>
        <w:spacing w:line="440" w:lineRule="exact"/>
        <w:ind w:firstLine="420" w:firstLineChars="200"/>
        <w:jc w:val="left"/>
        <w:rPr>
          <w:color w:val="000000"/>
          <w:szCs w:val="21"/>
        </w:rPr>
      </w:pPr>
      <w:r>
        <w:rPr>
          <w:color w:val="000000"/>
          <w:szCs w:val="21"/>
        </w:rPr>
        <w:t>二、如甲方违反本协议第五条约定，未能按时足额支付检测服务费用，则甲方应承担违约责任，除补足检测服务费用外，还应按</w:t>
      </w:r>
      <w:r>
        <w:rPr>
          <w:rFonts w:hint="eastAsia"/>
          <w:color w:val="000000"/>
          <w:szCs w:val="21"/>
        </w:rPr>
        <w:t>以欠付款项为基数，按照合同订立时全国银行间同业拆借中心发布的一年期贷款市场报价利率(LPR)</w:t>
      </w:r>
      <w:r>
        <w:rPr>
          <w:color w:val="000000"/>
          <w:szCs w:val="21"/>
        </w:rPr>
        <w:t>赔偿乙方资金占用成本。</w:t>
      </w:r>
    </w:p>
    <w:p>
      <w:pPr>
        <w:pStyle w:val="2"/>
        <w:spacing w:line="440" w:lineRule="exact"/>
        <w:rPr>
          <w:rFonts w:ascii="Times New Roman" w:hAnsi="Times New Roman" w:eastAsia="宋体"/>
          <w:color w:val="000000"/>
          <w:sz w:val="21"/>
          <w:szCs w:val="21"/>
        </w:rPr>
      </w:pPr>
      <w:r>
        <w:rPr>
          <w:rFonts w:ascii="Times New Roman" w:hAnsi="Times New Roman" w:eastAsia="宋体"/>
          <w:color w:val="000000"/>
          <w:sz w:val="21"/>
          <w:szCs w:val="21"/>
        </w:rPr>
        <w:t>三、乙方应保证时效性，</w:t>
      </w:r>
      <w:r>
        <w:rPr>
          <w:rFonts w:hint="eastAsia" w:ascii="Times New Roman" w:hAnsi="Times New Roman" w:eastAsia="宋体"/>
          <w:color w:val="000000"/>
          <w:sz w:val="21"/>
          <w:szCs w:val="21"/>
        </w:rPr>
        <w:t>若乙方未能在合同约定的期限（含《检测作业方案》中明确的期限）完成相关工作的，</w:t>
      </w:r>
      <w:r>
        <w:rPr>
          <w:rFonts w:ascii="Times New Roman" w:hAnsi="Times New Roman" w:eastAsia="宋体"/>
          <w:color w:val="000000"/>
          <w:sz w:val="21"/>
          <w:szCs w:val="21"/>
        </w:rPr>
        <w:t>每延迟一天，应按</w:t>
      </w:r>
      <w:r>
        <w:rPr>
          <w:rFonts w:hint="eastAsia" w:ascii="Times New Roman" w:hAnsi="Times New Roman" w:eastAsia="宋体"/>
          <w:color w:val="000000"/>
          <w:sz w:val="21"/>
          <w:szCs w:val="21"/>
        </w:rPr>
        <w:t>合同</w:t>
      </w:r>
      <w:r>
        <w:rPr>
          <w:rFonts w:ascii="Times New Roman" w:hAnsi="Times New Roman" w:eastAsia="宋体"/>
          <w:color w:val="000000"/>
          <w:sz w:val="21"/>
          <w:szCs w:val="21"/>
        </w:rPr>
        <w:t>金额1%</w:t>
      </w:r>
      <w:r>
        <w:rPr>
          <w:rFonts w:hint="eastAsia" w:ascii="Times New Roman" w:hAnsi="Times New Roman" w:eastAsia="宋体"/>
          <w:color w:val="000000"/>
          <w:sz w:val="21"/>
          <w:szCs w:val="21"/>
        </w:rPr>
        <w:t>的标准</w:t>
      </w:r>
      <w:r>
        <w:rPr>
          <w:rFonts w:ascii="Times New Roman" w:hAnsi="Times New Roman" w:eastAsia="宋体"/>
          <w:color w:val="000000"/>
          <w:sz w:val="21"/>
          <w:szCs w:val="21"/>
        </w:rPr>
        <w:t>承担违约责任，延迟超过20天，甲方有权解除本协议，协议的解除不影响违约责任的承担。</w:t>
      </w:r>
    </w:p>
    <w:p>
      <w:pPr>
        <w:spacing w:line="440" w:lineRule="exact"/>
        <w:ind w:firstLine="420" w:firstLineChars="200"/>
        <w:jc w:val="left"/>
        <w:rPr>
          <w:color w:val="000000"/>
          <w:szCs w:val="21"/>
        </w:rPr>
      </w:pPr>
      <w:r>
        <w:rPr>
          <w:color w:val="000000"/>
          <w:szCs w:val="21"/>
        </w:rPr>
        <w:t>四、乙方保证其出具的《检测报告》或《防雷装置整改建议书》的数据、内容、图表</w:t>
      </w:r>
      <w:r>
        <w:rPr>
          <w:rFonts w:hint="eastAsia"/>
          <w:color w:val="000000"/>
          <w:szCs w:val="21"/>
        </w:rPr>
        <w:t>、结论</w:t>
      </w:r>
      <w:r>
        <w:rPr>
          <w:color w:val="000000"/>
          <w:szCs w:val="21"/>
        </w:rPr>
        <w:t>等具有权威性、准确性、真实性、公正性和合法性。否则，甲方有权解除合同、拒绝支付合同款项，</w:t>
      </w:r>
      <w:r>
        <w:rPr>
          <w:rFonts w:hint="eastAsia"/>
          <w:color w:val="000000"/>
          <w:szCs w:val="21"/>
        </w:rPr>
        <w:t>乙方应当赔偿甲方所有损失，包括但不限于甲方因使用己方提供的报告导致的第三方追偿、索赔、求偿、罚款以及因乙方过错导致甲方未能及时整改相关隐患而产生的损失、费用。</w:t>
      </w:r>
    </w:p>
    <w:p>
      <w:pPr>
        <w:spacing w:line="440" w:lineRule="exact"/>
        <w:ind w:firstLine="420" w:firstLineChars="200"/>
        <w:jc w:val="left"/>
        <w:rPr>
          <w:color w:val="000000"/>
          <w:szCs w:val="21"/>
        </w:rPr>
      </w:pPr>
      <w:r>
        <w:rPr>
          <w:rFonts w:hint="eastAsia"/>
          <w:color w:val="000000"/>
          <w:szCs w:val="21"/>
        </w:rPr>
        <w:t>五、甲方因乙方过错解除合同的，乙方还应当承担合同总金额20%的违约金。</w:t>
      </w:r>
    </w:p>
    <w:p>
      <w:pPr>
        <w:spacing w:line="440" w:lineRule="exact"/>
        <w:ind w:firstLine="420" w:firstLineChars="200"/>
        <w:jc w:val="left"/>
        <w:rPr>
          <w:color w:val="000000"/>
          <w:szCs w:val="21"/>
        </w:rPr>
      </w:pPr>
      <w:r>
        <w:rPr>
          <w:color w:val="000000"/>
          <w:szCs w:val="21"/>
        </w:rPr>
        <w:t>六、乙方保证具有履行本协议的资质和能力，提供的相关资质认定证书有效合法</w:t>
      </w:r>
      <w:r>
        <w:rPr>
          <w:rFonts w:hint="eastAsia"/>
          <w:color w:val="000000"/>
          <w:szCs w:val="21"/>
        </w:rPr>
        <w:t>，且乙方应当确保相关资质、能力、证书在合同履行期间持续有效。否则</w:t>
      </w:r>
      <w:r>
        <w:rPr>
          <w:color w:val="000000"/>
          <w:szCs w:val="21"/>
        </w:rPr>
        <w:t>甲方</w:t>
      </w:r>
      <w:r>
        <w:rPr>
          <w:rFonts w:hint="eastAsia"/>
          <w:color w:val="000000"/>
          <w:szCs w:val="21"/>
        </w:rPr>
        <w:t>有权</w:t>
      </w:r>
      <w:r>
        <w:rPr>
          <w:color w:val="000000"/>
          <w:szCs w:val="21"/>
        </w:rPr>
        <w:t>解除合同，</w:t>
      </w:r>
      <w:r>
        <w:rPr>
          <w:rFonts w:hint="eastAsia"/>
          <w:color w:val="000000"/>
          <w:szCs w:val="21"/>
        </w:rPr>
        <w:t>且</w:t>
      </w:r>
      <w:r>
        <w:rPr>
          <w:color w:val="000000"/>
          <w:szCs w:val="21"/>
        </w:rPr>
        <w:t>甲方有权委托第三人履行本项目，所产生的费用由乙方承担，造成甲方损失的，乙方承担。</w:t>
      </w:r>
    </w:p>
    <w:p>
      <w:pPr>
        <w:spacing w:line="440" w:lineRule="exact"/>
        <w:ind w:firstLine="420" w:firstLineChars="200"/>
        <w:jc w:val="left"/>
        <w:rPr>
          <w:color w:val="000000"/>
          <w:szCs w:val="21"/>
        </w:rPr>
      </w:pPr>
      <w:r>
        <w:rPr>
          <w:color w:val="000000"/>
          <w:szCs w:val="21"/>
        </w:rPr>
        <w:t>七、除了本合同违约条款约定的违约责任外，如因乙方原因导致甲方遭受其他损失的，乙方还须承担相应赔偿责任（包括但不限于实际损失、可得利益损失、</w:t>
      </w:r>
      <w:r>
        <w:rPr>
          <w:rFonts w:hint="eastAsia"/>
          <w:color w:val="000000"/>
          <w:szCs w:val="21"/>
        </w:rPr>
        <w:t>甲方委托第三方提供服务导致增加的费用、</w:t>
      </w:r>
      <w:r>
        <w:rPr>
          <w:color w:val="000000"/>
          <w:szCs w:val="21"/>
        </w:rPr>
        <w:t>甲方支付给第三方的赔偿费用/违约金/罚款、调查取证费用/公证费、诉讼费用、律师费用</w:t>
      </w:r>
      <w:r>
        <w:rPr>
          <w:rFonts w:hint="eastAsia"/>
          <w:color w:val="000000"/>
          <w:szCs w:val="21"/>
        </w:rPr>
        <w:t>、保全费、保全担保（保险）费用</w:t>
      </w:r>
      <w:r>
        <w:rPr>
          <w:color w:val="000000"/>
          <w:szCs w:val="21"/>
        </w:rPr>
        <w:t>以及因此而支付的其他合理费用。）</w:t>
      </w:r>
    </w:p>
    <w:p>
      <w:pPr>
        <w:spacing w:line="440" w:lineRule="exact"/>
        <w:jc w:val="left"/>
        <w:rPr>
          <w:b/>
          <w:color w:val="000000"/>
          <w:szCs w:val="21"/>
        </w:rPr>
      </w:pPr>
      <w:r>
        <w:rPr>
          <w:b/>
          <w:color w:val="000000"/>
          <w:szCs w:val="21"/>
        </w:rPr>
        <w:t>第七条  争议的解决方法</w:t>
      </w:r>
    </w:p>
    <w:p>
      <w:pPr>
        <w:spacing w:line="440" w:lineRule="exact"/>
        <w:ind w:firstLine="420" w:firstLineChars="200"/>
        <w:jc w:val="left"/>
        <w:rPr>
          <w:color w:val="000000"/>
          <w:szCs w:val="21"/>
        </w:rPr>
      </w:pPr>
      <w:r>
        <w:rPr>
          <w:color w:val="000000"/>
          <w:szCs w:val="21"/>
        </w:rPr>
        <w:t>如发生争议，协议双方协商解决，如协商不成，</w:t>
      </w:r>
      <w:r>
        <w:rPr>
          <w:rFonts w:hint="eastAsia"/>
          <w:color w:val="000000"/>
          <w:szCs w:val="21"/>
        </w:rPr>
        <w:t>应当</w:t>
      </w:r>
      <w:r>
        <w:rPr>
          <w:color w:val="000000"/>
          <w:szCs w:val="21"/>
        </w:rPr>
        <w:t>向甲方所在地人民法院提起诉讼。</w:t>
      </w:r>
    </w:p>
    <w:p>
      <w:pPr>
        <w:spacing w:line="440" w:lineRule="exact"/>
        <w:jc w:val="left"/>
        <w:rPr>
          <w:b/>
          <w:color w:val="000000"/>
          <w:szCs w:val="21"/>
        </w:rPr>
      </w:pPr>
      <w:r>
        <w:rPr>
          <w:b/>
          <w:color w:val="000000"/>
          <w:szCs w:val="21"/>
        </w:rPr>
        <w:t>第八条  技术服务协议的生效和终止</w:t>
      </w:r>
    </w:p>
    <w:p>
      <w:pPr>
        <w:spacing w:line="440" w:lineRule="exact"/>
        <w:ind w:firstLine="420" w:firstLineChars="200"/>
        <w:jc w:val="left"/>
        <w:rPr>
          <w:szCs w:val="21"/>
        </w:rPr>
      </w:pPr>
      <w:r>
        <w:rPr>
          <w:color w:val="000000"/>
          <w:szCs w:val="21"/>
        </w:rPr>
        <w:t>本协议双方法定代表人或授权代表签字并加盖公章后生效</w:t>
      </w:r>
      <w:r>
        <w:rPr>
          <w:szCs w:val="21"/>
        </w:rPr>
        <w:t>；</w:t>
      </w:r>
      <w:r>
        <w:rPr>
          <w:color w:val="000000"/>
          <w:szCs w:val="21"/>
        </w:rPr>
        <w:t>双方妥善履行完本协议规定的所有权利义务条款后</w:t>
      </w:r>
      <w:r>
        <w:rPr>
          <w:szCs w:val="21"/>
        </w:rPr>
        <w:t>自行终止失效。</w:t>
      </w:r>
    </w:p>
    <w:p>
      <w:pPr>
        <w:spacing w:line="440" w:lineRule="exact"/>
        <w:jc w:val="left"/>
        <w:rPr>
          <w:b/>
          <w:color w:val="000000"/>
          <w:szCs w:val="21"/>
        </w:rPr>
      </w:pPr>
      <w:r>
        <w:rPr>
          <w:b/>
          <w:color w:val="000000"/>
          <w:szCs w:val="21"/>
        </w:rPr>
        <w:t>第九条  其他约定条件</w:t>
      </w:r>
    </w:p>
    <w:p>
      <w:pPr>
        <w:spacing w:line="440" w:lineRule="exact"/>
        <w:ind w:firstLine="420" w:firstLineChars="200"/>
        <w:contextualSpacing/>
        <w:jc w:val="left"/>
        <w:rPr>
          <w:color w:val="000000"/>
          <w:szCs w:val="21"/>
        </w:rPr>
      </w:pPr>
      <w:r>
        <w:rPr>
          <w:color w:val="000000"/>
          <w:szCs w:val="21"/>
        </w:rPr>
        <w:t>一、检测作业方案（按需编制，由甲方最终确定）作为本协议附件，具有同等法律效力。</w:t>
      </w:r>
    </w:p>
    <w:p>
      <w:pPr>
        <w:spacing w:line="440" w:lineRule="exact"/>
        <w:ind w:firstLine="420" w:firstLineChars="200"/>
        <w:jc w:val="left"/>
        <w:rPr>
          <w:color w:val="000000"/>
          <w:szCs w:val="21"/>
        </w:rPr>
      </w:pPr>
      <w:r>
        <w:rPr>
          <w:rFonts w:hint="eastAsia"/>
          <w:color w:val="000000"/>
          <w:szCs w:val="21"/>
        </w:rPr>
        <w:t>二</w:t>
      </w:r>
      <w:r>
        <w:rPr>
          <w:color w:val="000000"/>
          <w:szCs w:val="21"/>
        </w:rPr>
        <w:t>、本协议一式</w:t>
      </w:r>
      <w:r>
        <w:rPr>
          <w:color w:val="000000"/>
          <w:szCs w:val="21"/>
          <w:u w:val="single"/>
        </w:rPr>
        <w:t>陆</w:t>
      </w:r>
      <w:r>
        <w:rPr>
          <w:color w:val="000000"/>
          <w:szCs w:val="21"/>
        </w:rPr>
        <w:t>份，协议方各执</w:t>
      </w:r>
      <w:r>
        <w:rPr>
          <w:color w:val="000000"/>
          <w:szCs w:val="21"/>
          <w:u w:val="single"/>
        </w:rPr>
        <w:t>叁</w:t>
      </w:r>
      <w:r>
        <w:rPr>
          <w:color w:val="000000"/>
          <w:szCs w:val="21"/>
        </w:rPr>
        <w:t>份。</w:t>
      </w:r>
    </w:p>
    <w:p>
      <w:pPr>
        <w:spacing w:line="440" w:lineRule="exact"/>
        <w:ind w:firstLine="420" w:firstLineChars="200"/>
        <w:rPr>
          <w:color w:val="000000"/>
          <w:szCs w:val="21"/>
        </w:rPr>
      </w:pPr>
      <w:r>
        <w:rPr>
          <w:color w:val="000000"/>
          <w:szCs w:val="21"/>
        </w:rPr>
        <w:t>（以下无正文）</w:t>
      </w:r>
    </w:p>
    <w:p>
      <w:pPr>
        <w:spacing w:line="440" w:lineRule="exact"/>
        <w:ind w:firstLine="420" w:firstLineChars="200"/>
        <w:jc w:val="left"/>
        <w:rPr>
          <w:color w:val="000000"/>
          <w:szCs w:val="21"/>
        </w:rPr>
      </w:pPr>
    </w:p>
    <w:p>
      <w:pPr>
        <w:pStyle w:val="2"/>
        <w:spacing w:line="440" w:lineRule="exact"/>
        <w:jc w:val="left"/>
        <w:rPr>
          <w:rFonts w:ascii="Times New Roman" w:hAnsi="Times New Roman"/>
          <w:sz w:val="21"/>
          <w:szCs w:val="21"/>
        </w:rPr>
      </w:pPr>
    </w:p>
    <w:p>
      <w:pPr>
        <w:tabs>
          <w:tab w:val="left" w:pos="0"/>
        </w:tabs>
        <w:spacing w:line="480" w:lineRule="exact"/>
        <w:rPr>
          <w:szCs w:val="21"/>
        </w:rPr>
      </w:pPr>
    </w:p>
    <w:p>
      <w:pPr>
        <w:tabs>
          <w:tab w:val="left" w:pos="0"/>
        </w:tabs>
        <w:spacing w:line="480" w:lineRule="exact"/>
        <w:ind w:left="435"/>
        <w:rPr>
          <w:szCs w:val="21"/>
        </w:rPr>
      </w:pPr>
      <w:r>
        <w:rPr>
          <w:szCs w:val="21"/>
        </w:rPr>
        <w:t>甲方单位：（盖章）                        乙方单位：（盖章）</w:t>
      </w:r>
    </w:p>
    <w:p>
      <w:pPr>
        <w:tabs>
          <w:tab w:val="left" w:pos="0"/>
        </w:tabs>
        <w:spacing w:line="480" w:lineRule="exact"/>
        <w:ind w:left="435"/>
        <w:rPr>
          <w:szCs w:val="21"/>
        </w:rPr>
      </w:pPr>
      <w:r>
        <w:rPr>
          <w:szCs w:val="21"/>
        </w:rPr>
        <w:t>法定代表人                               法定代表人</w:t>
      </w:r>
    </w:p>
    <w:p>
      <w:pPr>
        <w:tabs>
          <w:tab w:val="left" w:pos="0"/>
        </w:tabs>
        <w:spacing w:line="480" w:lineRule="exact"/>
        <w:ind w:left="435"/>
        <w:rPr>
          <w:szCs w:val="21"/>
        </w:rPr>
      </w:pPr>
      <w:r>
        <w:rPr>
          <w:szCs w:val="21"/>
        </w:rPr>
        <w:t xml:space="preserve">   或其                                     或其</w:t>
      </w:r>
    </w:p>
    <w:p>
      <w:pPr>
        <w:spacing w:line="440" w:lineRule="exact"/>
        <w:ind w:firstLine="420" w:firstLineChars="200"/>
        <w:rPr>
          <w:szCs w:val="21"/>
        </w:rPr>
      </w:pPr>
      <w:r>
        <w:rPr>
          <w:szCs w:val="21"/>
        </w:rPr>
        <w:t>授权的代理人：                          授权的代理人：</w:t>
      </w:r>
    </w:p>
    <w:p>
      <w:pPr>
        <w:pStyle w:val="2"/>
        <w:ind w:firstLine="560"/>
        <w:rPr>
          <w:rFonts w:ascii="Times New Roman" w:hAnsi="Times New Roman"/>
        </w:rPr>
      </w:pPr>
    </w:p>
    <w:p/>
    <w:p>
      <w:r>
        <w:br w:type="page"/>
      </w:r>
    </w:p>
    <w:p>
      <w:pPr>
        <w:jc w:val="center"/>
        <w:rPr>
          <w:b/>
          <w:bCs/>
          <w:sz w:val="28"/>
          <w:szCs w:val="28"/>
        </w:rPr>
      </w:pPr>
      <w:bookmarkStart w:id="41" w:name="_Toc179632806"/>
      <w:bookmarkStart w:id="42" w:name="_Toc25157"/>
      <w:r>
        <w:rPr>
          <w:b/>
          <w:bCs/>
          <w:sz w:val="28"/>
          <w:szCs w:val="28"/>
        </w:rPr>
        <w:t>（二）廉政合同格式</w:t>
      </w:r>
    </w:p>
    <w:p>
      <w:pPr>
        <w:spacing w:line="480" w:lineRule="exact"/>
        <w:ind w:left="435"/>
        <w:rPr>
          <w:szCs w:val="21"/>
        </w:rPr>
      </w:pPr>
      <w:r>
        <w:rPr>
          <w:szCs w:val="21"/>
        </w:rPr>
        <w:t>项目名称</w:t>
      </w:r>
      <w:r>
        <w:rPr>
          <w:rFonts w:hint="eastAsia"/>
          <w:szCs w:val="21"/>
        </w:rPr>
        <w:t>：</w:t>
      </w:r>
    </w:p>
    <w:p>
      <w:pPr>
        <w:spacing w:line="480" w:lineRule="exact"/>
        <w:ind w:left="435"/>
        <w:rPr>
          <w:szCs w:val="21"/>
        </w:rPr>
      </w:pPr>
      <w:r>
        <w:rPr>
          <w:szCs w:val="21"/>
        </w:rPr>
        <w:t>项目金额</w:t>
      </w:r>
      <w:r>
        <w:rPr>
          <w:rFonts w:hint="eastAsia"/>
          <w:szCs w:val="21"/>
        </w:rPr>
        <w:t>：</w:t>
      </w:r>
      <w:r>
        <w:rPr>
          <w:szCs w:val="21"/>
        </w:rPr>
        <w:t>元（人民币）</w:t>
      </w:r>
    </w:p>
    <w:p>
      <w:pPr>
        <w:spacing w:line="480" w:lineRule="exact"/>
        <w:ind w:left="435"/>
        <w:rPr>
          <w:szCs w:val="21"/>
        </w:rPr>
      </w:pPr>
      <w:r>
        <w:rPr>
          <w:szCs w:val="21"/>
        </w:rPr>
        <w:t>委托方单位（甲方）：</w:t>
      </w:r>
    </w:p>
    <w:p>
      <w:pPr>
        <w:spacing w:line="480" w:lineRule="exact"/>
        <w:ind w:left="435"/>
        <w:rPr>
          <w:szCs w:val="21"/>
        </w:rPr>
      </w:pPr>
      <w:r>
        <w:rPr>
          <w:szCs w:val="21"/>
        </w:rPr>
        <w:t>服务方单位（乙方）：</w:t>
      </w:r>
    </w:p>
    <w:p>
      <w:pPr>
        <w:spacing w:beforeLines="50" w:line="480" w:lineRule="exact"/>
        <w:ind w:firstLine="420" w:firstLineChars="200"/>
        <w:rPr>
          <w:szCs w:val="21"/>
        </w:rPr>
      </w:pPr>
      <w:r>
        <w:rPr>
          <w:szCs w:val="21"/>
        </w:rPr>
        <w:t>根据党和国家有关廉政建设的规定，为做好业务活动中的党风廉政建设工作，保证资金的安全和有效使用，防止业务活动中的不廉行为发生，甲乙双方特订立如下合同。</w:t>
      </w:r>
    </w:p>
    <w:p>
      <w:pPr>
        <w:numPr>
          <w:ilvl w:val="0"/>
          <w:numId w:val="6"/>
        </w:numPr>
        <w:spacing w:line="480" w:lineRule="exact"/>
        <w:rPr>
          <w:szCs w:val="21"/>
        </w:rPr>
      </w:pPr>
      <w:r>
        <w:rPr>
          <w:szCs w:val="21"/>
        </w:rPr>
        <w:t xml:space="preserve">  甲乙双方的权利和义务</w:t>
      </w:r>
    </w:p>
    <w:p>
      <w:pPr>
        <w:spacing w:line="480" w:lineRule="exact"/>
        <w:ind w:firstLine="420" w:firstLineChars="200"/>
        <w:rPr>
          <w:szCs w:val="21"/>
        </w:rPr>
      </w:pPr>
      <w:r>
        <w:rPr>
          <w:szCs w:val="21"/>
        </w:rPr>
        <w:t>一、严格遵守党的政策和国家有关法律法规，严格执行合同文件，自觉按合同办事。</w:t>
      </w:r>
    </w:p>
    <w:p>
      <w:pPr>
        <w:spacing w:line="480" w:lineRule="exact"/>
        <w:ind w:firstLine="420" w:firstLineChars="200"/>
        <w:rPr>
          <w:szCs w:val="21"/>
        </w:rPr>
      </w:pPr>
      <w:r>
        <w:rPr>
          <w:szCs w:val="21"/>
        </w:rPr>
        <w:t>二、建立健全廉政制度，开展廉政教育，监督并认真查处违法违纪行为。</w:t>
      </w:r>
    </w:p>
    <w:p>
      <w:pPr>
        <w:spacing w:line="480" w:lineRule="exact"/>
        <w:ind w:firstLine="420" w:firstLineChars="200"/>
        <w:rPr>
          <w:szCs w:val="21"/>
        </w:rPr>
      </w:pPr>
      <w:r>
        <w:rPr>
          <w:szCs w:val="21"/>
        </w:rPr>
        <w:t>三、发现对方在业务活动中有违反廉政规定的行为，有及时提醒对方纠正的权利和义务。</w:t>
      </w:r>
    </w:p>
    <w:p>
      <w:pPr>
        <w:spacing w:line="480" w:lineRule="exact"/>
        <w:ind w:firstLine="420" w:firstLineChars="200"/>
        <w:rPr>
          <w:szCs w:val="21"/>
        </w:rPr>
      </w:pPr>
      <w:r>
        <w:rPr>
          <w:szCs w:val="21"/>
        </w:rPr>
        <w:t>四、发现对方严重违反本合同义务条款的行为，有向其上级有关部门举报、建议给予处理并要求告知处理结果的权利。</w:t>
      </w:r>
    </w:p>
    <w:p>
      <w:pPr>
        <w:numPr>
          <w:ilvl w:val="0"/>
          <w:numId w:val="6"/>
        </w:numPr>
        <w:spacing w:line="480" w:lineRule="exact"/>
        <w:rPr>
          <w:szCs w:val="21"/>
        </w:rPr>
      </w:pPr>
      <w:r>
        <w:rPr>
          <w:szCs w:val="21"/>
        </w:rPr>
        <w:t xml:space="preserve">  甲方的义务</w:t>
      </w:r>
    </w:p>
    <w:p>
      <w:pPr>
        <w:spacing w:line="480" w:lineRule="exact"/>
        <w:ind w:firstLine="420" w:firstLineChars="200"/>
        <w:rPr>
          <w:szCs w:val="21"/>
        </w:rPr>
      </w:pPr>
      <w:r>
        <w:rPr>
          <w:szCs w:val="21"/>
        </w:rPr>
        <w:t>一、甲方工作人员要秉公办事，不准营私舞弊，不准利用职权从事各种个人有偿中介活动。</w:t>
      </w:r>
    </w:p>
    <w:p>
      <w:pPr>
        <w:spacing w:line="480" w:lineRule="exact"/>
        <w:ind w:firstLine="420" w:firstLineChars="200"/>
        <w:rPr>
          <w:szCs w:val="21"/>
        </w:rPr>
      </w:pPr>
      <w:r>
        <w:rPr>
          <w:szCs w:val="21"/>
        </w:rPr>
        <w:t>二、甲方工作人员不得索要或接受乙方的礼金、回扣、有价证劵和贵重物品，不得在乙方报销任何应由甲方或个人支付的费用等。</w:t>
      </w:r>
    </w:p>
    <w:p>
      <w:pPr>
        <w:spacing w:line="480" w:lineRule="exact"/>
        <w:ind w:firstLine="420" w:firstLineChars="200"/>
        <w:rPr>
          <w:szCs w:val="21"/>
        </w:rPr>
      </w:pPr>
      <w:r>
        <w:rPr>
          <w:szCs w:val="21"/>
        </w:rPr>
        <w:t>三、甲方工作人员不得参加乙方安排的超标准宴请和娱乐活动；不得接受乙方提供的通讯工具、交通工具和高档办公用品等。</w:t>
      </w:r>
    </w:p>
    <w:p>
      <w:pPr>
        <w:spacing w:line="480" w:lineRule="exact"/>
        <w:ind w:firstLine="420" w:firstLineChars="200"/>
        <w:rPr>
          <w:szCs w:val="21"/>
        </w:rPr>
      </w:pPr>
      <w:r>
        <w:rPr>
          <w:szCs w:val="21"/>
        </w:rPr>
        <w:t>四、甲方工作人员不得要求或者接受乙方为其住房装修、婚丧嫁娶活动、配偶子女的工作安排以及出国、出境旅游等提供方便等。</w:t>
      </w:r>
    </w:p>
    <w:p>
      <w:pPr>
        <w:numPr>
          <w:ilvl w:val="0"/>
          <w:numId w:val="6"/>
        </w:numPr>
        <w:spacing w:line="480" w:lineRule="exact"/>
        <w:rPr>
          <w:szCs w:val="21"/>
        </w:rPr>
      </w:pPr>
      <w:r>
        <w:rPr>
          <w:szCs w:val="21"/>
        </w:rPr>
        <w:t xml:space="preserve">  乙方的义务</w:t>
      </w:r>
    </w:p>
    <w:p>
      <w:pPr>
        <w:spacing w:line="480" w:lineRule="exact"/>
        <w:ind w:firstLine="420" w:firstLineChars="200"/>
        <w:rPr>
          <w:szCs w:val="21"/>
        </w:rPr>
      </w:pPr>
      <w:r>
        <w:rPr>
          <w:szCs w:val="21"/>
        </w:rPr>
        <w:t>一、乙方不得以任何理由向甲方及其工作人员行贿或馈赠礼金、有价证劵、贵重礼品；不得以任何名义为甲方及其工作人员报销应由甲方单位或个人支付的任何费用。</w:t>
      </w:r>
    </w:p>
    <w:p>
      <w:pPr>
        <w:spacing w:line="480" w:lineRule="exact"/>
        <w:ind w:firstLine="420" w:firstLineChars="200"/>
        <w:rPr>
          <w:szCs w:val="21"/>
        </w:rPr>
      </w:pPr>
      <w:r>
        <w:rPr>
          <w:szCs w:val="21"/>
        </w:rPr>
        <w:t>二、乙方不得以任何理由安排甲方工作人员参加超标准宴请及娱乐活动。</w:t>
      </w:r>
    </w:p>
    <w:p>
      <w:pPr>
        <w:spacing w:line="480" w:lineRule="exact"/>
        <w:ind w:firstLine="420" w:firstLineChars="200"/>
        <w:rPr>
          <w:szCs w:val="21"/>
        </w:rPr>
      </w:pPr>
      <w:r>
        <w:rPr>
          <w:szCs w:val="21"/>
        </w:rPr>
        <w:t>三、乙方不得为甲方单位和个人购置或提供通讯工具、交通工具和高档办公用品等。</w:t>
      </w:r>
    </w:p>
    <w:p>
      <w:pPr>
        <w:spacing w:line="480" w:lineRule="exact"/>
        <w:ind w:firstLine="420" w:firstLineChars="200"/>
        <w:rPr>
          <w:szCs w:val="21"/>
        </w:rPr>
      </w:pPr>
      <w:r>
        <w:rPr>
          <w:szCs w:val="21"/>
        </w:rPr>
        <w:t>四、乙方不得为甲方工作人员住房装修、婚丧嫁娶活动、配偶子女的工作安排以及出国、出境旅游等提供方便等。</w:t>
      </w:r>
    </w:p>
    <w:p>
      <w:pPr>
        <w:numPr>
          <w:ilvl w:val="0"/>
          <w:numId w:val="6"/>
        </w:numPr>
        <w:spacing w:line="480" w:lineRule="exact"/>
        <w:rPr>
          <w:szCs w:val="21"/>
        </w:rPr>
      </w:pPr>
      <w:r>
        <w:rPr>
          <w:szCs w:val="21"/>
        </w:rPr>
        <w:t xml:space="preserve">  违约责任</w:t>
      </w:r>
    </w:p>
    <w:p>
      <w:pPr>
        <w:spacing w:line="480" w:lineRule="exact"/>
        <w:ind w:firstLine="420" w:firstLineChars="200"/>
        <w:rPr>
          <w:szCs w:val="21"/>
        </w:rPr>
      </w:pPr>
      <w:r>
        <w:rPr>
          <w:szCs w:val="21"/>
        </w:rPr>
        <w:t>一、甲方及其工作人员违反本合同第一、二条，按管理权限，依据有关规定给予党纪、政纪或组织处理；给乙方单位造成经济损失的，应予以赔偿。</w:t>
      </w:r>
    </w:p>
    <w:p>
      <w:pPr>
        <w:spacing w:line="480" w:lineRule="exact"/>
        <w:ind w:firstLine="420" w:firstLineChars="200"/>
        <w:rPr>
          <w:szCs w:val="21"/>
        </w:rPr>
      </w:pPr>
      <w:r>
        <w:rPr>
          <w:szCs w:val="21"/>
        </w:rPr>
        <w:t>二、乙方及其工作人员违反本合同第一、三条，按管理权限，依据有关规定给予党纪、政纪或组织处理；给甲方单位造成经济损失的，应予以赔偿。</w:t>
      </w:r>
    </w:p>
    <w:p>
      <w:pPr>
        <w:numPr>
          <w:ilvl w:val="0"/>
          <w:numId w:val="6"/>
        </w:numPr>
        <w:spacing w:line="480" w:lineRule="exact"/>
        <w:rPr>
          <w:szCs w:val="21"/>
        </w:rPr>
      </w:pPr>
      <w:r>
        <w:rPr>
          <w:szCs w:val="21"/>
        </w:rPr>
        <w:t xml:space="preserve">  双方约定：本合同由双方或双方上级单位的纪检监察机关负责监督执行。</w:t>
      </w:r>
    </w:p>
    <w:p>
      <w:pPr>
        <w:numPr>
          <w:ilvl w:val="0"/>
          <w:numId w:val="6"/>
        </w:numPr>
        <w:tabs>
          <w:tab w:val="left" w:pos="0"/>
          <w:tab w:val="clear" w:pos="1275"/>
        </w:tabs>
        <w:spacing w:line="480" w:lineRule="exact"/>
        <w:ind w:left="0" w:firstLine="435"/>
        <w:rPr>
          <w:szCs w:val="21"/>
        </w:rPr>
      </w:pPr>
      <w:r>
        <w:rPr>
          <w:szCs w:val="21"/>
        </w:rPr>
        <w:t xml:space="preserve">  本合同与防雷检测服务合同同时签署，有效期为甲乙双方签署之日起至防雷检测服务</w:t>
      </w:r>
      <w:r>
        <w:rPr>
          <w:rFonts w:hint="eastAsia"/>
          <w:szCs w:val="21"/>
        </w:rPr>
        <w:t>项目协议</w:t>
      </w:r>
      <w:r>
        <w:rPr>
          <w:szCs w:val="21"/>
        </w:rPr>
        <w:t>执行完毕止。</w:t>
      </w:r>
    </w:p>
    <w:p>
      <w:pPr>
        <w:numPr>
          <w:ilvl w:val="0"/>
          <w:numId w:val="6"/>
        </w:numPr>
        <w:tabs>
          <w:tab w:val="left" w:pos="0"/>
          <w:tab w:val="clear" w:pos="1275"/>
        </w:tabs>
        <w:spacing w:line="480" w:lineRule="exact"/>
        <w:ind w:left="0" w:firstLine="435"/>
        <w:rPr>
          <w:szCs w:val="21"/>
        </w:rPr>
      </w:pPr>
      <w:r>
        <w:rPr>
          <w:szCs w:val="21"/>
        </w:rPr>
        <w:t xml:space="preserve">  本合同作为防雷检测服务</w:t>
      </w:r>
      <w:r>
        <w:rPr>
          <w:rFonts w:hint="eastAsia"/>
          <w:szCs w:val="21"/>
        </w:rPr>
        <w:t>项目协议</w:t>
      </w:r>
      <w:r>
        <w:rPr>
          <w:szCs w:val="21"/>
        </w:rPr>
        <w:t>的附件，与</w:t>
      </w:r>
      <w:r>
        <w:rPr>
          <w:rFonts w:hint="eastAsia"/>
          <w:szCs w:val="21"/>
        </w:rPr>
        <w:t>防雷检测服务项目协议</w:t>
      </w:r>
      <w:r>
        <w:rPr>
          <w:szCs w:val="21"/>
        </w:rPr>
        <w:t>具有同等的法律效力，经合同双方签署立即生效。</w:t>
      </w:r>
    </w:p>
    <w:p>
      <w:pPr>
        <w:numPr>
          <w:ilvl w:val="0"/>
          <w:numId w:val="6"/>
        </w:numPr>
        <w:tabs>
          <w:tab w:val="left" w:pos="0"/>
          <w:tab w:val="clear" w:pos="1275"/>
        </w:tabs>
        <w:spacing w:line="480" w:lineRule="exact"/>
        <w:ind w:left="0" w:firstLine="435"/>
        <w:rPr>
          <w:szCs w:val="21"/>
        </w:rPr>
      </w:pPr>
      <w:r>
        <w:rPr>
          <w:szCs w:val="21"/>
        </w:rPr>
        <w:t xml:space="preserve">  本合同一式陆份，由甲乙双方各执叁份。</w:t>
      </w:r>
    </w:p>
    <w:p>
      <w:pPr>
        <w:tabs>
          <w:tab w:val="left" w:pos="0"/>
        </w:tabs>
        <w:spacing w:line="480" w:lineRule="exact"/>
        <w:rPr>
          <w:szCs w:val="21"/>
        </w:rPr>
      </w:pPr>
    </w:p>
    <w:p>
      <w:pPr>
        <w:tabs>
          <w:tab w:val="left" w:pos="0"/>
        </w:tabs>
        <w:spacing w:line="480" w:lineRule="exact"/>
        <w:rPr>
          <w:szCs w:val="21"/>
        </w:rPr>
      </w:pPr>
    </w:p>
    <w:p>
      <w:pPr>
        <w:tabs>
          <w:tab w:val="left" w:pos="0"/>
        </w:tabs>
        <w:spacing w:line="480" w:lineRule="exact"/>
        <w:ind w:left="435"/>
        <w:rPr>
          <w:szCs w:val="21"/>
        </w:rPr>
      </w:pPr>
      <w:r>
        <w:rPr>
          <w:szCs w:val="21"/>
        </w:rPr>
        <w:t>甲方单位：（盖章）                        乙方单位：（盖章）</w:t>
      </w:r>
    </w:p>
    <w:p>
      <w:pPr>
        <w:tabs>
          <w:tab w:val="left" w:pos="0"/>
        </w:tabs>
        <w:spacing w:line="480" w:lineRule="exact"/>
        <w:ind w:left="435"/>
        <w:rPr>
          <w:szCs w:val="21"/>
        </w:rPr>
      </w:pPr>
      <w:r>
        <w:rPr>
          <w:szCs w:val="21"/>
        </w:rPr>
        <w:t>法定代表人                               法定代表人</w:t>
      </w:r>
    </w:p>
    <w:p>
      <w:pPr>
        <w:tabs>
          <w:tab w:val="left" w:pos="0"/>
        </w:tabs>
        <w:spacing w:line="480" w:lineRule="exact"/>
        <w:ind w:left="435"/>
        <w:rPr>
          <w:szCs w:val="21"/>
        </w:rPr>
      </w:pPr>
      <w:r>
        <w:rPr>
          <w:szCs w:val="21"/>
        </w:rPr>
        <w:t xml:space="preserve">   或其                                     或其</w:t>
      </w:r>
    </w:p>
    <w:p>
      <w:pPr>
        <w:tabs>
          <w:tab w:val="left" w:pos="0"/>
        </w:tabs>
        <w:spacing w:line="480" w:lineRule="exact"/>
        <w:ind w:left="435"/>
        <w:rPr>
          <w:szCs w:val="21"/>
        </w:rPr>
      </w:pPr>
      <w:r>
        <w:rPr>
          <w:szCs w:val="21"/>
        </w:rPr>
        <w:t>授权的代理人：                           授权的代理人：</w:t>
      </w:r>
    </w:p>
    <w:p>
      <w:pPr>
        <w:tabs>
          <w:tab w:val="left" w:pos="0"/>
        </w:tabs>
        <w:spacing w:line="480" w:lineRule="exact"/>
        <w:ind w:left="435"/>
        <w:rPr>
          <w:szCs w:val="21"/>
        </w:rPr>
      </w:pPr>
    </w:p>
    <w:p>
      <w:pPr>
        <w:tabs>
          <w:tab w:val="left" w:pos="0"/>
        </w:tabs>
        <w:spacing w:line="480" w:lineRule="exact"/>
        <w:ind w:left="435"/>
        <w:rPr>
          <w:szCs w:val="21"/>
        </w:rPr>
      </w:pPr>
      <w:r>
        <w:rPr>
          <w:szCs w:val="21"/>
        </w:rPr>
        <w:t>甲方监督部门（盖章）                     乙方监督部门（盖章）</w:t>
      </w:r>
    </w:p>
    <w:p>
      <w:pPr>
        <w:tabs>
          <w:tab w:val="left" w:pos="0"/>
        </w:tabs>
        <w:spacing w:line="480" w:lineRule="exact"/>
        <w:ind w:left="435"/>
        <w:rPr>
          <w:szCs w:val="21"/>
        </w:rPr>
      </w:pPr>
      <w:r>
        <w:rPr>
          <w:szCs w:val="21"/>
        </w:rPr>
        <w:t xml:space="preserve">单位地址：     </w:t>
      </w:r>
      <w:r>
        <w:rPr>
          <w:rFonts w:hint="eastAsia"/>
          <w:szCs w:val="21"/>
          <w:lang w:val="en-US" w:eastAsia="zh-CN"/>
        </w:rPr>
        <w:t xml:space="preserve">                         </w:t>
      </w:r>
      <w:r>
        <w:rPr>
          <w:szCs w:val="21"/>
        </w:rPr>
        <w:t xml:space="preserve"> 单位地址：</w:t>
      </w:r>
    </w:p>
    <w:p>
      <w:pPr>
        <w:tabs>
          <w:tab w:val="left" w:pos="0"/>
        </w:tabs>
        <w:spacing w:line="480" w:lineRule="exact"/>
        <w:ind w:left="435"/>
        <w:rPr>
          <w:szCs w:val="21"/>
        </w:rPr>
      </w:pPr>
      <w:r>
        <w:rPr>
          <w:szCs w:val="21"/>
        </w:rPr>
        <w:t xml:space="preserve">单位电话：   </w:t>
      </w:r>
      <w:r>
        <w:rPr>
          <w:rFonts w:hint="eastAsia"/>
          <w:szCs w:val="21"/>
          <w:lang w:val="en-US" w:eastAsia="zh-CN"/>
        </w:rPr>
        <w:t xml:space="preserve">                            </w:t>
      </w:r>
      <w:r>
        <w:rPr>
          <w:szCs w:val="21"/>
        </w:rPr>
        <w:t>单位电话：</w:t>
      </w:r>
    </w:p>
    <w:p>
      <w:pPr>
        <w:numPr>
          <w:ilvl w:val="255"/>
          <w:numId w:val="0"/>
        </w:numPr>
        <w:rPr>
          <w:sz w:val="24"/>
        </w:rPr>
      </w:pPr>
      <w:r>
        <w:rPr>
          <w:sz w:val="24"/>
        </w:rPr>
        <w:br w:type="page"/>
      </w:r>
    </w:p>
    <w:p>
      <w:pPr>
        <w:tabs>
          <w:tab w:val="left" w:pos="0"/>
        </w:tabs>
        <w:spacing w:line="480" w:lineRule="exact"/>
        <w:ind w:left="435"/>
        <w:rPr>
          <w:sz w:val="24"/>
        </w:rPr>
      </w:pPr>
    </w:p>
    <w:p>
      <w:pPr>
        <w:jc w:val="center"/>
        <w:rPr>
          <w:sz w:val="32"/>
          <w:szCs w:val="32"/>
        </w:rPr>
      </w:pPr>
      <w:r>
        <w:rPr>
          <w:b/>
          <w:bCs/>
          <w:sz w:val="28"/>
          <w:szCs w:val="28"/>
        </w:rPr>
        <w:t>（三）安全生产合同格式</w:t>
      </w:r>
    </w:p>
    <w:p>
      <w:pPr>
        <w:adjustRightInd w:val="0"/>
        <w:snapToGrid w:val="0"/>
        <w:spacing w:line="440" w:lineRule="exact"/>
        <w:ind w:firstLine="560" w:firstLineChars="200"/>
        <w:jc w:val="right"/>
        <w:rPr>
          <w:sz w:val="28"/>
          <w:szCs w:val="28"/>
        </w:rPr>
      </w:pPr>
    </w:p>
    <w:p>
      <w:pPr>
        <w:tabs>
          <w:tab w:val="left" w:pos="5955"/>
        </w:tabs>
        <w:spacing w:line="360" w:lineRule="auto"/>
        <w:ind w:firstLine="420" w:firstLineChars="200"/>
        <w:rPr>
          <w:szCs w:val="21"/>
        </w:rPr>
      </w:pPr>
      <w:r>
        <w:rPr>
          <w:szCs w:val="21"/>
        </w:rPr>
        <w:t>为在（项目名称）合同的实施过程中创造安全、高效的施工环境、切实搞好安全管理工作，本项目业主(以下简称“甲方”)与供应商(以下简称“乙方”)特此签订安全生产合同：</w:t>
      </w:r>
    </w:p>
    <w:p>
      <w:pPr>
        <w:tabs>
          <w:tab w:val="left" w:pos="5955"/>
        </w:tabs>
        <w:spacing w:line="360" w:lineRule="auto"/>
        <w:ind w:firstLine="420" w:firstLineChars="200"/>
        <w:rPr>
          <w:szCs w:val="21"/>
        </w:rPr>
      </w:pPr>
      <w:r>
        <w:rPr>
          <w:szCs w:val="21"/>
        </w:rPr>
        <w:t xml:space="preserve"> 第一条：甲乙双方按照“安全第一、预防为主”的原则，进行施工安全管理和安全监督。</w:t>
      </w:r>
    </w:p>
    <w:p>
      <w:pPr>
        <w:tabs>
          <w:tab w:val="left" w:pos="5955"/>
        </w:tabs>
        <w:spacing w:line="360" w:lineRule="auto"/>
        <w:ind w:firstLine="525" w:firstLineChars="250"/>
        <w:rPr>
          <w:szCs w:val="21"/>
        </w:rPr>
      </w:pPr>
      <w:r>
        <w:rPr>
          <w:szCs w:val="21"/>
        </w:rPr>
        <w:t>第二条：乙方根据工程施工需要，制定切实可靠的现场文明管理，安全施工管理，安全施工操作规范制度，制定施工安全事故防范措施，并指派专人组织落实、实施。</w:t>
      </w:r>
    </w:p>
    <w:p>
      <w:pPr>
        <w:tabs>
          <w:tab w:val="left" w:pos="5955"/>
        </w:tabs>
        <w:spacing w:line="360" w:lineRule="auto"/>
        <w:ind w:firstLine="525" w:firstLineChars="250"/>
        <w:rPr>
          <w:szCs w:val="21"/>
        </w:rPr>
      </w:pPr>
      <w:r>
        <w:rPr>
          <w:szCs w:val="21"/>
        </w:rPr>
        <w:t>在施工现场醒目位置设置施工安全宣传标语，安全施工规章制度和操作规程，提高安全施工氛围。</w:t>
      </w:r>
    </w:p>
    <w:p>
      <w:pPr>
        <w:tabs>
          <w:tab w:val="left" w:pos="5955"/>
        </w:tabs>
        <w:spacing w:line="360" w:lineRule="auto"/>
        <w:ind w:firstLine="525" w:firstLineChars="250"/>
        <w:rPr>
          <w:szCs w:val="21"/>
        </w:rPr>
      </w:pPr>
      <w:r>
        <w:rPr>
          <w:szCs w:val="21"/>
        </w:rPr>
        <w:t>第三条：乙方必须按照安全施工操作规范进行施工管理，在施工现场设置醒目的警告标志、施工标志、安全标志、施工标志灯、安全防护栏等安全防护设备，采取有效的防护措施，避免现场过往车辆、行人和施工人员出现安全事故。</w:t>
      </w:r>
    </w:p>
    <w:p>
      <w:pPr>
        <w:tabs>
          <w:tab w:val="left" w:pos="5955"/>
        </w:tabs>
        <w:spacing w:line="360" w:lineRule="auto"/>
        <w:ind w:firstLine="525" w:firstLineChars="250"/>
        <w:rPr>
          <w:szCs w:val="21"/>
        </w:rPr>
      </w:pPr>
      <w:r>
        <w:rPr>
          <w:szCs w:val="21"/>
        </w:rPr>
        <w:t>第四条：乙方对施工现场可能出现的材料设备倒塌，材料设备上的搁置物、悬挂物，可能出现倒塌、脱落、坠落；配电设备漏电，机械故障等不安定情况指派专人进行经常性的检查，及时排除隐患，避免安全事故的发生。</w:t>
      </w:r>
    </w:p>
    <w:p>
      <w:pPr>
        <w:tabs>
          <w:tab w:val="left" w:pos="5955"/>
        </w:tabs>
        <w:spacing w:line="360" w:lineRule="auto"/>
        <w:rPr>
          <w:szCs w:val="21"/>
        </w:rPr>
      </w:pPr>
      <w:r>
        <w:rPr>
          <w:szCs w:val="21"/>
        </w:rPr>
        <w:t xml:space="preserve">    第五条</w:t>
      </w:r>
      <w:r>
        <w:rPr>
          <w:rFonts w:hint="eastAsia"/>
          <w:szCs w:val="21"/>
        </w:rPr>
        <w:t>：</w:t>
      </w:r>
      <w:r>
        <w:rPr>
          <w:szCs w:val="21"/>
        </w:rPr>
        <w:t>乙方对其组织的劳务</w:t>
      </w:r>
      <w:r>
        <w:rPr>
          <w:rFonts w:hint="eastAsia"/>
          <w:szCs w:val="21"/>
        </w:rPr>
        <w:t>（含劳动，以下同）</w:t>
      </w:r>
      <w:r>
        <w:rPr>
          <w:szCs w:val="21"/>
        </w:rPr>
        <w:t>施工人员,上岗前必须进行安全生产教育培训,经考核合格后,签订《安全生产责任状》和《劳务合同》</w:t>
      </w:r>
      <w:r>
        <w:rPr>
          <w:rFonts w:hint="eastAsia"/>
          <w:szCs w:val="21"/>
        </w:rPr>
        <w:t>/《劳动合同》</w:t>
      </w:r>
      <w:r>
        <w:rPr>
          <w:szCs w:val="21"/>
        </w:rPr>
        <w:t>方可雇佣</w:t>
      </w:r>
      <w:r>
        <w:rPr>
          <w:rFonts w:hint="eastAsia"/>
          <w:szCs w:val="21"/>
        </w:rPr>
        <w:t>，</w:t>
      </w:r>
      <w:r>
        <w:rPr>
          <w:szCs w:val="21"/>
        </w:rPr>
        <w:t>所有劳务施工人员必须根据相应的岗位取得从业资格</w:t>
      </w:r>
      <w:r>
        <w:rPr>
          <w:rFonts w:hint="eastAsia"/>
          <w:szCs w:val="21"/>
        </w:rPr>
        <w:t>，</w:t>
      </w:r>
      <w:r>
        <w:rPr>
          <w:szCs w:val="21"/>
        </w:rPr>
        <w:t>并持证上岗</w:t>
      </w:r>
      <w:r>
        <w:rPr>
          <w:rFonts w:hint="eastAsia"/>
          <w:szCs w:val="21"/>
        </w:rPr>
        <w:t>，</w:t>
      </w:r>
      <w:r>
        <w:rPr>
          <w:szCs w:val="21"/>
        </w:rPr>
        <w:t>严禁违章雇佣无相应资格或考核不及格的劳务人员</w:t>
      </w:r>
      <w:r>
        <w:rPr>
          <w:rFonts w:hint="eastAsia"/>
          <w:szCs w:val="21"/>
        </w:rPr>
        <w:t>，</w:t>
      </w:r>
      <w:r>
        <w:rPr>
          <w:szCs w:val="21"/>
        </w:rPr>
        <w:t>督促劳务人员严格按照施工规范施工操作。</w:t>
      </w:r>
    </w:p>
    <w:p>
      <w:pPr>
        <w:tabs>
          <w:tab w:val="left" w:pos="5955"/>
        </w:tabs>
        <w:spacing w:line="360" w:lineRule="auto"/>
        <w:ind w:firstLine="420" w:firstLineChars="200"/>
        <w:rPr>
          <w:szCs w:val="21"/>
        </w:rPr>
      </w:pPr>
      <w:r>
        <w:rPr>
          <w:szCs w:val="21"/>
        </w:rPr>
        <w:t>乙方现场必须配备相应的安全设施、设备和劳务人员保护用品（如防护栏、安全帽、安全带、救生衣等），指派专人到现场负责安全设施设备的检查工作，确保现场所有人员配戴保护用品，上路人员必须穿标志服、戴工作帽，正确使用安全设施、设备，确保安全施工，杜绝安全事故的发生。</w:t>
      </w:r>
    </w:p>
    <w:p>
      <w:pPr>
        <w:tabs>
          <w:tab w:val="left" w:pos="5955"/>
        </w:tabs>
        <w:spacing w:line="360" w:lineRule="auto"/>
        <w:ind w:firstLine="525" w:firstLineChars="250"/>
        <w:rPr>
          <w:szCs w:val="21"/>
        </w:rPr>
      </w:pPr>
      <w:r>
        <w:rPr>
          <w:szCs w:val="21"/>
        </w:rPr>
        <w:t>第六条：乙方必须为每位劳务施工人员购买工伤保险或人身意外保险。甲方认为必要的情况</w:t>
      </w:r>
      <w:r>
        <w:rPr>
          <w:rFonts w:hint="eastAsia"/>
          <w:szCs w:val="21"/>
        </w:rPr>
        <w:t>下</w:t>
      </w:r>
      <w:r>
        <w:rPr>
          <w:szCs w:val="21"/>
        </w:rPr>
        <w:t>，可以直接为乙方劳务人员购买保险，其费用从乙方工程款中扣出。</w:t>
      </w:r>
    </w:p>
    <w:p>
      <w:pPr>
        <w:tabs>
          <w:tab w:val="left" w:pos="5955"/>
        </w:tabs>
        <w:spacing w:line="360" w:lineRule="auto"/>
        <w:ind w:firstLine="525" w:firstLineChars="250"/>
        <w:rPr>
          <w:szCs w:val="21"/>
        </w:rPr>
      </w:pPr>
      <w:r>
        <w:rPr>
          <w:szCs w:val="21"/>
        </w:rPr>
        <w:t>第七条：甲方有权监督乙方安全生产的执行落实情况，对乙方出现的安全隐患和违规情况，有权责令乙方停工整顿，损失乙方自担。</w:t>
      </w:r>
    </w:p>
    <w:p>
      <w:pPr>
        <w:tabs>
          <w:tab w:val="left" w:pos="5955"/>
        </w:tabs>
        <w:spacing w:line="360" w:lineRule="auto"/>
        <w:ind w:firstLine="525" w:firstLineChars="250"/>
        <w:rPr>
          <w:szCs w:val="21"/>
        </w:rPr>
      </w:pPr>
      <w:r>
        <w:rPr>
          <w:szCs w:val="21"/>
        </w:rPr>
        <w:t>第八条：违约责任</w:t>
      </w:r>
    </w:p>
    <w:p>
      <w:pPr>
        <w:numPr>
          <w:ilvl w:val="255"/>
          <w:numId w:val="0"/>
        </w:numPr>
        <w:tabs>
          <w:tab w:val="left" w:pos="5955"/>
        </w:tabs>
        <w:spacing w:line="360" w:lineRule="auto"/>
        <w:rPr>
          <w:szCs w:val="21"/>
        </w:rPr>
      </w:pPr>
      <w:r>
        <w:rPr>
          <w:szCs w:val="21"/>
        </w:rPr>
        <w:t>1.乙方安全措施不当和施工中没搞好安全防范，发生工伤事故，造成施工人员、劳务人员人身、财产损失，根据《劳动法》的有关规定，乙方作为雇主，承担全部赔偿责任。</w:t>
      </w:r>
    </w:p>
    <w:p>
      <w:pPr>
        <w:numPr>
          <w:ilvl w:val="255"/>
          <w:numId w:val="0"/>
        </w:numPr>
        <w:tabs>
          <w:tab w:val="left" w:pos="5955"/>
        </w:tabs>
        <w:spacing w:line="360" w:lineRule="auto"/>
        <w:rPr>
          <w:szCs w:val="21"/>
        </w:rPr>
      </w:pPr>
      <w:r>
        <w:rPr>
          <w:szCs w:val="21"/>
        </w:rPr>
        <w:t>2.乙方没有在施工现场设设置警示标志、防护设备、采取有效的防范措施，发生安全事故，造成他人人身、财产损害的，根据《民法</w:t>
      </w:r>
      <w:r>
        <w:rPr>
          <w:rFonts w:hint="eastAsia"/>
          <w:szCs w:val="21"/>
        </w:rPr>
        <w:t>典</w:t>
      </w:r>
      <w:r>
        <w:rPr>
          <w:szCs w:val="21"/>
        </w:rPr>
        <w:t>》的有关规定，乙方作为施工人，独立承担赔偿责任。</w:t>
      </w:r>
    </w:p>
    <w:p>
      <w:pPr>
        <w:numPr>
          <w:ilvl w:val="255"/>
          <w:numId w:val="0"/>
        </w:numPr>
        <w:tabs>
          <w:tab w:val="left" w:pos="5955"/>
        </w:tabs>
        <w:spacing w:line="360" w:lineRule="auto"/>
        <w:rPr>
          <w:szCs w:val="21"/>
        </w:rPr>
      </w:pPr>
      <w:r>
        <w:rPr>
          <w:szCs w:val="21"/>
        </w:rPr>
        <w:t>3.乙方没尽安全隐患检查、排除工作，发生安全事故而造成的各种损害、损失的，乙方作为管理人，承担损害赔偿责任。</w:t>
      </w:r>
    </w:p>
    <w:p>
      <w:pPr>
        <w:numPr>
          <w:ilvl w:val="255"/>
          <w:numId w:val="0"/>
        </w:numPr>
        <w:tabs>
          <w:tab w:val="left" w:pos="5955"/>
        </w:tabs>
        <w:spacing w:line="360" w:lineRule="auto"/>
        <w:rPr>
          <w:szCs w:val="21"/>
        </w:rPr>
      </w:pPr>
      <w:r>
        <w:rPr>
          <w:szCs w:val="21"/>
        </w:rPr>
        <w:t>4.乙方没尽安全防范责任，发生安全事故，致使甲方遭受直接损失或间接损失，甲方有权向乙方追偿，乙方应予赔偿。</w:t>
      </w:r>
    </w:p>
    <w:p>
      <w:pPr>
        <w:tabs>
          <w:tab w:val="left" w:pos="5955"/>
        </w:tabs>
        <w:spacing w:line="360" w:lineRule="auto"/>
        <w:ind w:firstLine="420" w:firstLineChars="200"/>
        <w:rPr>
          <w:szCs w:val="21"/>
        </w:rPr>
      </w:pPr>
      <w:r>
        <w:rPr>
          <w:szCs w:val="21"/>
        </w:rPr>
        <w:t>第九条：发生重大安全事故时乙方应及时上报甲方，并按有关规定及时善后处理。</w:t>
      </w:r>
    </w:p>
    <w:p>
      <w:pPr>
        <w:tabs>
          <w:tab w:val="left" w:pos="5955"/>
        </w:tabs>
        <w:spacing w:line="360" w:lineRule="auto"/>
        <w:ind w:firstLine="420" w:firstLineChars="200"/>
        <w:rPr>
          <w:szCs w:val="21"/>
        </w:rPr>
      </w:pPr>
      <w:r>
        <w:rPr>
          <w:szCs w:val="21"/>
        </w:rPr>
        <w:t>第十条：本合同一式两份，甲乙双方各持一份，自双方</w:t>
      </w:r>
      <w:r>
        <w:rPr>
          <w:rFonts w:hint="eastAsia"/>
          <w:szCs w:val="21"/>
        </w:rPr>
        <w:t>签署</w:t>
      </w:r>
      <w:r>
        <w:rPr>
          <w:szCs w:val="21"/>
        </w:rPr>
        <w:t>之日生效。</w:t>
      </w:r>
    </w:p>
    <w:p>
      <w:pPr>
        <w:adjustRightInd w:val="0"/>
        <w:snapToGrid w:val="0"/>
        <w:spacing w:line="440" w:lineRule="exact"/>
        <w:ind w:firstLine="200"/>
        <w:rPr>
          <w:szCs w:val="21"/>
        </w:rPr>
      </w:pPr>
    </w:p>
    <w:p>
      <w:pPr>
        <w:adjustRightInd w:val="0"/>
        <w:snapToGrid w:val="0"/>
        <w:spacing w:line="440" w:lineRule="exact"/>
        <w:ind w:firstLine="200"/>
        <w:rPr>
          <w:szCs w:val="21"/>
        </w:rPr>
      </w:pPr>
    </w:p>
    <w:p>
      <w:pPr>
        <w:adjustRightInd w:val="0"/>
        <w:snapToGrid w:val="0"/>
        <w:spacing w:line="440" w:lineRule="exact"/>
        <w:rPr>
          <w:szCs w:val="21"/>
          <w:u w:val="single"/>
        </w:rPr>
      </w:pPr>
      <w:r>
        <w:rPr>
          <w:szCs w:val="21"/>
        </w:rPr>
        <w:t xml:space="preserve">甲方：(盖章) 乙方：(盖章)  </w:t>
      </w:r>
    </w:p>
    <w:p>
      <w:pPr>
        <w:adjustRightInd w:val="0"/>
        <w:snapToGrid w:val="0"/>
        <w:spacing w:line="440" w:lineRule="exact"/>
        <w:rPr>
          <w:szCs w:val="21"/>
        </w:rPr>
      </w:pPr>
      <w:r>
        <w:rPr>
          <w:szCs w:val="21"/>
        </w:rPr>
        <w:t>法定代表人：                               法定代表人：</w:t>
      </w:r>
    </w:p>
    <w:p>
      <w:pPr>
        <w:adjustRightInd w:val="0"/>
        <w:snapToGrid w:val="0"/>
        <w:spacing w:line="440" w:lineRule="exact"/>
        <w:rPr>
          <w:szCs w:val="21"/>
        </w:rPr>
      </w:pPr>
      <w:r>
        <w:rPr>
          <w:szCs w:val="21"/>
        </w:rPr>
        <w:t>或其授权的代理人：                         或其授权的代理人：</w:t>
      </w:r>
    </w:p>
    <w:p>
      <w:pPr>
        <w:adjustRightInd w:val="0"/>
        <w:snapToGrid w:val="0"/>
        <w:spacing w:line="440" w:lineRule="exact"/>
        <w:rPr>
          <w:szCs w:val="21"/>
        </w:rPr>
      </w:pPr>
    </w:p>
    <w:p>
      <w:pPr>
        <w:rPr>
          <w:szCs w:val="21"/>
        </w:rPr>
      </w:pPr>
    </w:p>
    <w:p>
      <w:pPr>
        <w:pStyle w:val="2"/>
        <w:rPr>
          <w:rFonts w:ascii="Times New Roman" w:hAnsi="Times New Roman"/>
          <w:sz w:val="21"/>
          <w:szCs w:val="21"/>
        </w:rPr>
      </w:pPr>
    </w:p>
    <w:p>
      <w:pPr>
        <w:pStyle w:val="2"/>
        <w:ind w:firstLine="560"/>
        <w:rPr>
          <w:rFonts w:ascii="Times New Roman" w:hAnsi="Times New Roman"/>
        </w:rPr>
      </w:pPr>
    </w:p>
    <w:p>
      <w:pPr>
        <w:pStyle w:val="2"/>
        <w:ind w:firstLine="560"/>
        <w:rPr>
          <w:rFonts w:ascii="Times New Roman" w:hAnsi="Times New Roman"/>
        </w:rPr>
      </w:pPr>
    </w:p>
    <w:p>
      <w:pPr>
        <w:pStyle w:val="2"/>
        <w:ind w:firstLine="560"/>
        <w:rPr>
          <w:rFonts w:ascii="Times New Roman" w:hAnsi="Times New Roman"/>
        </w:rPr>
      </w:pPr>
    </w:p>
    <w:p/>
    <w:p>
      <w:pPr>
        <w:pStyle w:val="2"/>
        <w:ind w:firstLine="560"/>
      </w:pPr>
    </w:p>
    <w:p>
      <w:pPr>
        <w:pStyle w:val="2"/>
        <w:ind w:firstLine="560"/>
        <w:rPr>
          <w:rFonts w:ascii="Times New Roman" w:hAnsi="Times New Roman"/>
        </w:rPr>
      </w:pPr>
    </w:p>
    <w:p/>
    <w:p>
      <w:pPr>
        <w:pStyle w:val="2"/>
        <w:ind w:firstLine="560"/>
        <w:rPr>
          <w:rFonts w:ascii="Times New Roman" w:hAnsi="Times New Roman"/>
        </w:rPr>
      </w:pPr>
    </w:p>
    <w:p>
      <w:pPr>
        <w:pStyle w:val="2"/>
        <w:ind w:firstLine="560"/>
        <w:rPr>
          <w:rFonts w:ascii="Times New Roman" w:hAnsi="Times New Roman"/>
        </w:rPr>
      </w:pPr>
    </w:p>
    <w:p>
      <w:pPr>
        <w:pStyle w:val="5"/>
        <w:spacing w:before="0" w:after="0" w:line="240" w:lineRule="auto"/>
        <w:jc w:val="center"/>
        <w:rPr>
          <w:rFonts w:eastAsia="黑体"/>
          <w:sz w:val="36"/>
          <w:szCs w:val="36"/>
        </w:rPr>
      </w:pPr>
      <w:bookmarkStart w:id="43" w:name="_Toc202215194"/>
      <w:r>
        <w:rPr>
          <w:rFonts w:hint="eastAsia" w:eastAsia="黑体"/>
          <w:sz w:val="36"/>
          <w:szCs w:val="36"/>
        </w:rPr>
        <w:t>第五章  防雷检测点位统计表</w:t>
      </w:r>
      <w:bookmarkEnd w:id="43"/>
    </w:p>
    <w:p>
      <w:pPr>
        <w:ind w:firstLine="1470" w:firstLineChars="700"/>
        <w:rPr>
          <w:i/>
          <w:iCs/>
        </w:rPr>
      </w:pPr>
    </w:p>
    <w:p>
      <w:pPr>
        <w:spacing w:before="120" w:after="120" w:line="400" w:lineRule="exact"/>
        <w:jc w:val="center"/>
        <w:rPr>
          <w:rFonts w:eastAsia="黑体"/>
          <w:bCs/>
          <w:sz w:val="36"/>
          <w:szCs w:val="36"/>
        </w:rPr>
      </w:pPr>
      <w:r>
        <w:rPr>
          <w:rFonts w:eastAsia="黑体"/>
          <w:bCs/>
          <w:sz w:val="36"/>
          <w:szCs w:val="36"/>
        </w:rPr>
        <w:br w:type="page"/>
      </w:r>
    </w:p>
    <w:tbl>
      <w:tblPr>
        <w:tblStyle w:val="24"/>
        <w:tblpPr w:leftFromText="180" w:rightFromText="180" w:vertAnchor="text" w:horzAnchor="page" w:tblpX="1007" w:tblpY="1019"/>
        <w:tblOverlap w:val="never"/>
        <w:tblW w:w="10170" w:type="dxa"/>
        <w:tblInd w:w="0" w:type="dxa"/>
        <w:tblLayout w:type="autofit"/>
        <w:tblCellMar>
          <w:top w:w="0" w:type="dxa"/>
          <w:left w:w="108" w:type="dxa"/>
          <w:bottom w:w="0" w:type="dxa"/>
          <w:right w:w="108" w:type="dxa"/>
        </w:tblCellMar>
      </w:tblPr>
      <w:tblGrid>
        <w:gridCol w:w="840"/>
        <w:gridCol w:w="1743"/>
        <w:gridCol w:w="4853"/>
        <w:gridCol w:w="1395"/>
        <w:gridCol w:w="1339"/>
      </w:tblGrid>
      <w:tr>
        <w:tblPrEx>
          <w:tblCellMar>
            <w:top w:w="0" w:type="dxa"/>
            <w:left w:w="108" w:type="dxa"/>
            <w:bottom w:w="0" w:type="dxa"/>
            <w:right w:w="108" w:type="dxa"/>
          </w:tblCellMar>
        </w:tblPrEx>
        <w:trPr>
          <w:trHeight w:val="940" w:hRule="atLeast"/>
        </w:trPr>
        <w:tc>
          <w:tcPr>
            <w:tcW w:w="10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color w:val="000000"/>
                <w:kern w:val="0"/>
                <w:sz w:val="28"/>
                <w:szCs w:val="28"/>
              </w:rPr>
              <w:t xml:space="preserve">2025年高速收费站点、ETC门架机电设施设备防雷点位                            </w:t>
            </w:r>
          </w:p>
        </w:tc>
      </w:tr>
      <w:tr>
        <w:tblPrEx>
          <w:tblCellMar>
            <w:top w:w="0" w:type="dxa"/>
            <w:left w:w="108" w:type="dxa"/>
            <w:bottom w:w="0" w:type="dxa"/>
            <w:right w:w="108" w:type="dxa"/>
          </w:tblCellMar>
        </w:tblPrEx>
        <w:trPr>
          <w:trHeight w:val="36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 号</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检测位置</w:t>
            </w:r>
          </w:p>
        </w:tc>
        <w:tc>
          <w:tcPr>
            <w:tcW w:w="4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检测项目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检测点数</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22"/>
                <w:szCs w:val="22"/>
              </w:rPr>
            </w:pPr>
          </w:p>
        </w:tc>
      </w:tr>
      <w:tr>
        <w:tblPrEx>
          <w:tblCellMar>
            <w:top w:w="0" w:type="dxa"/>
            <w:left w:w="108" w:type="dxa"/>
            <w:bottom w:w="0" w:type="dxa"/>
            <w:right w:w="108" w:type="dxa"/>
          </w:tblCellMar>
        </w:tblPrEx>
        <w:trPr>
          <w:trHeight w:val="3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22"/>
                <w:szCs w:val="22"/>
              </w:rPr>
            </w:pPr>
          </w:p>
        </w:tc>
      </w:tr>
      <w:tr>
        <w:tblPrEx>
          <w:tblCellMar>
            <w:top w:w="0" w:type="dxa"/>
            <w:left w:w="108" w:type="dxa"/>
            <w:bottom w:w="0" w:type="dxa"/>
            <w:right w:w="108" w:type="dxa"/>
          </w:tblCellMar>
        </w:tblPrEx>
        <w:trPr>
          <w:trHeight w:val="11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新增办公楼、宿舍楼</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办公楼-10点、宿舍楼*3-33点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43</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中宋" w:hAnsi="华文中宋" w:eastAsia="华文中宋" w:cs="华文中宋"/>
                <w:color w:val="000000"/>
                <w:sz w:val="72"/>
                <w:szCs w:val="72"/>
              </w:rPr>
            </w:pPr>
            <w:r>
              <w:rPr>
                <w:rFonts w:hint="eastAsia" w:ascii="华文中宋" w:hAnsi="华文中宋" w:eastAsia="华文中宋" w:cs="华文中宋"/>
                <w:color w:val="000000"/>
                <w:kern w:val="0"/>
                <w:sz w:val="72"/>
                <w:szCs w:val="72"/>
              </w:rPr>
              <w:t>遂广检测点位</w:t>
            </w:r>
          </w:p>
        </w:tc>
      </w:tr>
      <w:tr>
        <w:tblPrEx>
          <w:tblCellMar>
            <w:top w:w="0" w:type="dxa"/>
            <w:left w:w="108" w:type="dxa"/>
            <w:bottom w:w="0" w:type="dxa"/>
            <w:right w:w="108" w:type="dxa"/>
          </w:tblCellMar>
        </w:tblPrEx>
        <w:trPr>
          <w:trHeight w:val="10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广安管理处 </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办公楼-1点、监控中心-2点、UPS机房-5点、通信机房-3点、高交办公楼-2点、宿舍楼-4点、发电机房-2点、箱式配电房-4点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1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岳池齐福站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-5点、监控中心-2点、UPS机房-7点、通信机房-6点、发电机房-2点、箱式配电房-4点、收费大棚-2点、收费岛配电箱、收费亭、通行灯、自动栏杆机、车道摄像机、车道显示屏、费显装置、ETC天线、计重控制柜、称台、光幕、车型识别器、场外高杆灯、场外摄像机-60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87</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武胜东站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-5点、监控中心-3点、UPS机房-6点、通信机房-5点、发电机房-2点、箱式配电房-4点、收费大棚-2点、收费岛配电箱、收费亭、通行灯、自动栏杆机、车道摄像机、车道显示屏、费显装置、ETC天线、计重控制柜、称台、光幕、车型识别器、场外高杆灯、场外摄像机-63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90</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4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飞龙樱花服务区</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A区餐饮楼-14点、监控室设备-9点、A区发电机房-2点、A区箱式配电房-4点、B区餐饮楼-14点、监控室设备-7点、B区发电机房-2点、B区箱式配电房-4点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2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武胜西站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监控中心-2点、UPS机房-6点、通信机房-5点、发电机房-2点、箱式配电房-4点、收费大棚-2点、收费岛配电箱、收费亭、通行灯、自动栏杆机、车道摄像机、车道显示屏、费显装置、ETC天线、计重控制柜、称台、光幕、车型识别器、场外高杆灯、场外摄像机-63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88</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1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武胜金牛站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-3点、监控中心-2点、UPS机房-6点、通信机房-4点、发电机房-1点、箱式配电房-4点、收费大棚-1点、收费岛配电箱、收费亭、通行灯、自动栏杆机、车道摄像机、车道显示屏、费显装置、ETC天线、计重控制柜、称台、光幕、车型识别器、场外高杆灯、场外摄像机-59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1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武胜赛马站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-7点、监控中心-2点、UPS机房-11点、通信机房-6点、发电机房-2点、箱式配电房-4点、收费大棚-2点、收费岛配电箱、收费亭、通行灯、自动栏杆机、车道摄像机、车道显示屏、费显装置、ETC天线、计重控制柜、称台、光幕、车型识别器、场外高杆灯、场外摄像机-61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95</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蓬南桂花服务区</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A区餐饮楼-13点、通讯机房-3点、监控室设备-4点、A区发电机房-2点、A区箱式配电房-4点、B区餐饮楼-12点、通讯机房-3点、监控室设备-2点、B区发电机房-2点、B区箱式配电房-4点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47</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1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蓬溪蓬南站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-7点、监控中心-2点、UPS机房-8点、通信机房-5点、发电机房-2点、箱式配电房-4点、收费大棚-2点、收费岛配电箱、收费亭、通行灯、自动栏杆机、车道摄像机、车道显示屏、费显装置、ETC天线、计重控制柜、称台、光幕、车型识别器、场外高杆灯、场外摄像机-69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99</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1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蓬溪三凤站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-6点、监控中心-2点、UPS机房-8点、通信机房-6点、发电机房-2点、箱式配电房-4点、收费大棚-2点、收费岛配电箱、收费亭、通行灯、自动栏杆机、车道摄像机、车道显示屏、费显装置、ETC天线、计重控制柜、称台、光幕、车型识别器、场外高杆灯、场外摄像机-62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92</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3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遂宁管理处 </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办公楼-7点、监控中心-4点、UPS机房-11点、通信机房-4点、高交办公楼-1点、发电机房-1点、箱式配电房-4点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2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遂宁金桥站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收费大棚-1点、收费岛配电箱、收费亭、通行灯、自动栏杆机、车道摄像机、车道显示屏、费显装置、ETC天线、计重控制柜、称台、光幕、车型识别器、场外高杆灯、场外摄像机-59点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3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遂宁-广安门架设备（双向）</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每个门架接地、地面机柜-44点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60" w:hRule="atLeast"/>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遂广检测点位小计</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1048</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0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遂宁吉祥站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-6点、监控中心-2点、UPS机房-9点、通信机房-6点、发电机房-2点、箱式配电房-4点、收费大棚-2点、收费岛配电箱、收费亭、通行灯、自动栏杆机、车道摄像机、车道显示屏、费显装置、ETC天线、计重控制柜、称台、光幕、车型识别器、场外高杆灯、场外摄像机-67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中宋" w:hAnsi="华文中宋" w:eastAsia="华文中宋" w:cs="华文中宋"/>
                <w:color w:val="000000"/>
                <w:sz w:val="72"/>
                <w:szCs w:val="72"/>
              </w:rPr>
            </w:pPr>
            <w:r>
              <w:rPr>
                <w:rFonts w:hint="eastAsia" w:ascii="华文中宋" w:hAnsi="华文中宋" w:eastAsia="华文中宋" w:cs="华文中宋"/>
                <w:color w:val="000000"/>
                <w:kern w:val="0"/>
                <w:sz w:val="72"/>
                <w:szCs w:val="72"/>
              </w:rPr>
              <w:t>遂西检测点位</w:t>
            </w:r>
          </w:p>
        </w:tc>
      </w:tr>
      <w:tr>
        <w:tblPrEx>
          <w:tblCellMar>
            <w:top w:w="0" w:type="dxa"/>
            <w:left w:w="108" w:type="dxa"/>
            <w:bottom w:w="0" w:type="dxa"/>
            <w:right w:w="108" w:type="dxa"/>
          </w:tblCellMar>
        </w:tblPrEx>
        <w:trPr>
          <w:trHeight w:val="21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蓬溪明月站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-6点、监控中心-2点、UPS机房-6点、通信机房-6点、发电机房-2点、箱式配电房-4点、收费大棚-2点、收费岛配电箱、收费亭、通行灯、自动栏杆机、车道摄像机、车道显示屏、费显装置、ETC天线、计重控制柜、称台、光幕、车型识别器、场外高杆灯、场外摄像机-63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89</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蓬溪红叶服务区</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A区餐饮楼-20点、通讯机房-3点、监控室设备-2点、UPS机房-3点、A区发电机房-1点、A区低压配电房-2点、B区餐饮楼-20点、通讯机房-2点、UPS机房-3点、B区发电机房-1点、B区低压配电房-2点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59</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1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蓬溪赤城站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-7点、监控中心-2点、UPS机房-7点、通信机房-5点、发电机房-1点、箱式配电房-4点、收费大棚-1点、收费岛配电箱、收费亭、通行灯、自动栏杆机、车道摄像机、车道显示屏、费显装置、ETC天线、计重控制柜、称台、光幕、车型识别器、场外高杆灯、场外摄像机-57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84</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七宝寺站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-7点、监控中心-2点、UPS机房-7点、通信机房-5点、发电机房-2点、箱式配电房-4点、收费大棚-2点、收费岛配电箱、收费亭、通行灯、自动栏杆机、车道摄像机、车道显示屏、费显装置、ETC天线、计重控制柜、称台、光幕、车型识别器、场外高杆灯、场外摄像机-62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91</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1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西充常林站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-7点、监控中心-2点、UPS机房-7点、通信机房-5点、收费大棚-2点、收费岛配电箱、收费亭、通行灯、自动栏杆机、车道摄像机、车道显示屏、费显装置、ETC天线、计重控制柜、称台、光幕、车型识别器、场外高杆灯、场外摄像机-66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89</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南充管理处</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办公楼-2点、UPS机房-7点、食堂-2点、低压配电房-4点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7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曹家沟隧道</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配电房-6点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7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雷凤山隧道</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配电房-6点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遂宁-西充门架设备（双向）</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每个门架接地、地面机柜-24点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720" w:hRule="atLeast"/>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遂西检测点位小计</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559</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720" w:hRule="atLeast"/>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中宋" w:hAnsi="华文中宋" w:eastAsia="华文中宋" w:cs="华文中宋"/>
                <w:color w:val="000000"/>
                <w:sz w:val="22"/>
                <w:szCs w:val="22"/>
              </w:rPr>
            </w:pPr>
            <w:r>
              <w:rPr>
                <w:rFonts w:hint="eastAsia" w:ascii="华文中宋" w:hAnsi="华文中宋" w:eastAsia="华文中宋" w:cs="华文中宋"/>
                <w:color w:val="000000"/>
                <w:kern w:val="0"/>
                <w:sz w:val="22"/>
                <w:szCs w:val="22"/>
              </w:rPr>
              <w:t>遂广遂西检测点位合计</w:t>
            </w:r>
          </w:p>
        </w:tc>
        <w:tc>
          <w:tcPr>
            <w:tcW w:w="4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华文中宋" w:hAnsi="华文中宋" w:eastAsia="华文中宋" w:cs="华文中宋"/>
                <w:color w:val="000000"/>
                <w:sz w:val="22"/>
                <w:szCs w:val="22"/>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中宋" w:hAnsi="华文中宋" w:eastAsia="华文中宋" w:cs="华文中宋"/>
                <w:b/>
                <w:bCs/>
                <w:color w:val="000000"/>
                <w:sz w:val="22"/>
                <w:szCs w:val="22"/>
              </w:rPr>
            </w:pPr>
            <w:r>
              <w:rPr>
                <w:rFonts w:hint="eastAsia" w:ascii="华文中宋" w:hAnsi="华文中宋" w:eastAsia="华文中宋" w:cs="华文中宋"/>
                <w:b/>
                <w:bCs/>
                <w:color w:val="000000"/>
                <w:kern w:val="0"/>
                <w:sz w:val="22"/>
                <w:szCs w:val="22"/>
              </w:rPr>
              <w:t>1607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华文中宋" w:hAnsi="华文中宋" w:eastAsia="华文中宋" w:cs="华文中宋"/>
                <w:color w:val="000000"/>
                <w:sz w:val="22"/>
                <w:szCs w:val="22"/>
              </w:rPr>
            </w:pPr>
          </w:p>
        </w:tc>
      </w:tr>
      <w:tr>
        <w:tblPrEx>
          <w:tblCellMar>
            <w:top w:w="0" w:type="dxa"/>
            <w:left w:w="108" w:type="dxa"/>
            <w:bottom w:w="0" w:type="dxa"/>
            <w:right w:w="108" w:type="dxa"/>
          </w:tblCellMar>
        </w:tblPrEx>
        <w:trPr>
          <w:trHeight w:val="760" w:hRule="atLeast"/>
        </w:trPr>
        <w:tc>
          <w:tcPr>
            <w:tcW w:w="10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color w:val="000000"/>
                <w:kern w:val="0"/>
                <w:sz w:val="28"/>
                <w:szCs w:val="28"/>
              </w:rPr>
              <w:t xml:space="preserve">2025年成渝高速收费站点、ETC门架机电设施设备防雷点位                            </w:t>
            </w:r>
          </w:p>
        </w:tc>
      </w:tr>
      <w:tr>
        <w:tblPrEx>
          <w:tblCellMar>
            <w:top w:w="0" w:type="dxa"/>
            <w:left w:w="108" w:type="dxa"/>
            <w:bottom w:w="0" w:type="dxa"/>
            <w:right w:w="108" w:type="dxa"/>
          </w:tblCellMar>
        </w:tblPrEx>
        <w:trPr>
          <w:trHeight w:val="31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 号</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检测位置</w:t>
            </w:r>
          </w:p>
        </w:tc>
        <w:tc>
          <w:tcPr>
            <w:tcW w:w="4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检测项目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检测点数</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22"/>
                <w:szCs w:val="22"/>
              </w:rPr>
            </w:pPr>
          </w:p>
        </w:tc>
      </w:tr>
      <w:tr>
        <w:tblPrEx>
          <w:tblCellMar>
            <w:top w:w="0" w:type="dxa"/>
            <w:left w:w="108" w:type="dxa"/>
            <w:bottom w:w="0" w:type="dxa"/>
            <w:right w:w="108" w:type="dxa"/>
          </w:tblCellMar>
        </w:tblPrEx>
        <w:trPr>
          <w:trHeight w:val="31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22"/>
                <w:szCs w:val="22"/>
              </w:rPr>
            </w:pPr>
          </w:p>
        </w:tc>
      </w:tr>
      <w:tr>
        <w:tblPrEx>
          <w:tblCellMar>
            <w:top w:w="0" w:type="dxa"/>
            <w:left w:w="108" w:type="dxa"/>
            <w:bottom w:w="0" w:type="dxa"/>
            <w:right w:w="108" w:type="dxa"/>
          </w:tblCellMar>
        </w:tblPrEx>
        <w:trPr>
          <w:trHeight w:val="4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成都管理处</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办公楼10、配电房5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中宋" w:hAnsi="华文中宋" w:eastAsia="华文中宋" w:cs="华文中宋"/>
                <w:color w:val="000000"/>
                <w:sz w:val="72"/>
                <w:szCs w:val="72"/>
              </w:rPr>
            </w:pPr>
            <w:r>
              <w:rPr>
                <w:rFonts w:hint="eastAsia" w:ascii="华文中宋" w:hAnsi="华文中宋" w:eastAsia="华文中宋" w:cs="华文中宋"/>
                <w:color w:val="000000"/>
                <w:kern w:val="0"/>
                <w:sz w:val="72"/>
                <w:szCs w:val="72"/>
              </w:rPr>
              <w:t>成渝高速检测点位</w:t>
            </w: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龙泉山隧道 </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办公楼4、配电房2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成都收费站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办公楼6点、机房4点、配电房6点、箱式配电房-4点、收费大棚、收费亭、雾灯、自动栏杆机、车道摄像机、费显装置、ETC天线、计重控制柜、称台、光栅、车型识别器、场外高杆灯、场外摄像机129点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145</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龙泉湖上行收费站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办公楼6点、机房2点、收费大棚、收费亭、雾灯、自动栏杆机、车道摄像机、费显装置、ETC天线、计重控制柜、称台、光栅、车型识别器、场外高杆灯、场外摄像机28点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龙泉湖下行收费站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办公楼4点、机房2点、配电房5点、收费大棚、收费亭、雾灯、自动栏杆机、车道摄像机、费显装置、ETC天线、计重控制柜、称台、光栅、车型识别器、场外高杆灯、场外摄像机26点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37</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石盘收费站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办公楼6点、机房4点、收费大棚、收费亭、雾灯、自动栏杆机、车道摄像机、费显装置、ETC天线、计重控制柜、称台、光栅、车型识别器、场外高杆灯、场外摄像机38点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48</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简阳北停车区</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上行办公楼6、机房2、广场 8          下行办公楼6、机房1、广场 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简阳北收费站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办公楼4点、机房8点、配电房6、收费大棚、收费亭、雾灯、自动栏杆机、车道摄像机、费显装置、ETC天线、计重控制柜、称台、光栅、车型识别器、场外高杆灯、场外摄像机95点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113</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简阳站主站收费站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办公楼4点、机房7点、配电房5、收费大棚、收费亭、雾灯、自动栏杆机、车道摄像机、费显装置、ETC天线、计重控制柜、称台、光栅、车型识别器、场外高杆灯、场外摄像机86点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102</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简阳站副站收费站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办公楼4点、机房5点、配电房4、收费大棚、收费亭、雾灯、自动栏杆机、车道摄像机、费显装置、ETC天线、计重控制柜、称台、光栅、车型识别器、场外高杆灯、场外摄像机78点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91</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老简阳西站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办公楼2点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资阳服务区 </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上行办公楼4、箱变3                  下行办公楼3、机房2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资阳高新区收费站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办公楼3点、机房8点、配电房6、收费大棚、收费亭、雾灯、自动栏杆机、车道摄像机、费显装置、ETC天线、计重控制柜、称台、光栅、车型识别器、场外高杆灯、场外摄像机122点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139</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资阳办公区</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办公楼8、机房7</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高交办公楼6</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箱变4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资阳收费站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办公楼4点、机房7点、配电房3、收费大棚、收费亭、雾灯、自动栏杆机、车道摄像机、费显装置、ETC天线、计重控制柜、称台、光栅、车型识别器、场外高杆灯、场外摄像机115点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129</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球溪东收费站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办公楼4点、机房7点、收费大棚、收费亭、雾灯、自动栏杆机、车道摄像机、费显装置、ETC天线、计重控制柜、称台、光栅、车型识别器、场外高杆灯、场外摄像机33点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44</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球溪西收费站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办公楼4点、机房8点、收费大棚、收费亭、雾灯、自动栏杆机、车道摄像机、费显装置、ETC天线、计重控制柜、称台、光栅、车型识别器、场外高杆灯、场外摄像机31点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43</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鱼溪收费站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办公楼8点、机房7点、收费大棚、收费亭、雾灯、自动栏杆机、车道摄像机、费显装置、ETC天线、计重控制柜、称台、光栅、车型识别器、场外高杆灯、场外摄像机37点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52</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资中停车区</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上行办公楼2、机房1、广场7</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下行办公楼2、机房4、广场3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下行配电房6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资中收费站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办公楼4点、机房8点、配电房2、收费大棚、收费亭、雾灯、自动栏杆机、车道摄像机、费显装置、ETC天线、计重控制柜、称台、光栅、车型识别器、场外高杆灯、场外摄像机47点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61</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银山收费站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办公楼6点、机房9点、收费大棚、收费亭、雾灯、自动栏杆机、车道摄像机、费显装置、ETC天线、计重控制柜、称台、光栅、车型识别器、场外高杆灯、场外摄像机30点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内江收费站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办公楼4点、机房24点、配电房6、收费大棚、收费亭、雾灯、自动栏杆机、车道摄像机、费显装置、ETC天线、计重控制柜、称台、光栅、车型识别器、场外高杆灯、场外摄像机154点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188</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8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内江服务区</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上行办公楼5、广场7</w:t>
            </w:r>
            <w:r>
              <w:rPr>
                <w:rFonts w:hint="eastAsia" w:ascii="宋体" w:hAnsi="宋体" w:cs="宋体"/>
                <w:color w:val="000000"/>
                <w:kern w:val="0"/>
                <w:sz w:val="24"/>
              </w:rPr>
              <w:br w:type="textWrapping"/>
            </w:r>
            <w:r>
              <w:rPr>
                <w:rFonts w:hint="eastAsia" w:ascii="宋体" w:hAnsi="宋体" w:cs="宋体"/>
                <w:color w:val="000000"/>
                <w:kern w:val="0"/>
                <w:sz w:val="24"/>
              </w:rPr>
              <w:t>下行办公楼5、机房7</w:t>
            </w:r>
            <w:r>
              <w:rPr>
                <w:rFonts w:hint="eastAsia" w:ascii="宋体" w:hAnsi="宋体" w:cs="宋体"/>
                <w:color w:val="000000"/>
                <w:kern w:val="0"/>
                <w:sz w:val="24"/>
              </w:rPr>
              <w:br w:type="textWrapping"/>
            </w:r>
            <w:r>
              <w:rPr>
                <w:rFonts w:hint="eastAsia" w:ascii="宋体" w:hAnsi="宋体" w:cs="宋体"/>
                <w:color w:val="000000"/>
                <w:kern w:val="0"/>
                <w:sz w:val="24"/>
              </w:rPr>
              <w:t>下行配电房5、广场7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内江管理处</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办公楼4、机房6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6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市中区收费站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办公楼4点、机房8点、收费大棚、收费亭、雾灯、自动栏杆机、车道摄像机、费显装置、ETC天线、计重控制柜、称台、光栅、车型识别器、场外高杆灯、场外摄像机84点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96</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1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椑木收费站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办公楼5点、机房9点、收费大棚、收费亭、雾灯、自动栏杆机、车道摄像机、费显装置、ETC天线、计重控制柜、称台、光栅、车型识别器、场外高杆灯、场外摄像机35点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49</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8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27</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隆昌停车区</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上行办公楼4、广场3</w:t>
            </w:r>
            <w:r>
              <w:rPr>
                <w:rFonts w:hint="eastAsia" w:ascii="宋体" w:hAnsi="宋体" w:cs="宋体"/>
                <w:color w:val="000000"/>
                <w:kern w:val="0"/>
                <w:sz w:val="24"/>
              </w:rPr>
              <w:br w:type="textWrapping"/>
            </w:r>
            <w:r>
              <w:rPr>
                <w:rFonts w:hint="eastAsia" w:ascii="宋体" w:hAnsi="宋体" w:cs="宋体"/>
                <w:color w:val="000000"/>
                <w:kern w:val="0"/>
                <w:sz w:val="24"/>
              </w:rPr>
              <w:t>下行办公楼4、机房5、广场4</w:t>
            </w:r>
            <w:r>
              <w:rPr>
                <w:rFonts w:hint="eastAsia" w:ascii="宋体" w:hAnsi="宋体" w:cs="宋体"/>
                <w:color w:val="000000"/>
                <w:kern w:val="0"/>
                <w:sz w:val="24"/>
              </w:rPr>
              <w:br w:type="textWrapping"/>
            </w:r>
            <w:r>
              <w:rPr>
                <w:rFonts w:hint="eastAsia" w:ascii="宋体" w:hAnsi="宋体" w:cs="宋体"/>
                <w:color w:val="000000"/>
                <w:kern w:val="0"/>
                <w:sz w:val="24"/>
              </w:rPr>
              <w:t>下行配电房3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142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渔箭收费站</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办公楼4点、机房8点、配电房5、收费大棚、收费亭、雾灯、自动栏杆机、车道摄像机、费显装置、ETC天线、计重控制柜、称台、光栅、车型识别器、场外高杆灯、场外摄像机28点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2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29</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路上门架设备</w:t>
            </w:r>
          </w:p>
        </w:tc>
        <w:tc>
          <w:tcPr>
            <w:tcW w:w="4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成都段43        内江段23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264</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中宋" w:hAnsi="华文中宋" w:eastAsia="华文中宋" w:cs="华文中宋"/>
                <w:color w:val="000000"/>
                <w:sz w:val="72"/>
                <w:szCs w:val="72"/>
              </w:rPr>
            </w:pPr>
          </w:p>
        </w:tc>
      </w:tr>
      <w:tr>
        <w:tblPrEx>
          <w:tblCellMar>
            <w:top w:w="0" w:type="dxa"/>
            <w:left w:w="108" w:type="dxa"/>
            <w:bottom w:w="0" w:type="dxa"/>
            <w:right w:w="108" w:type="dxa"/>
          </w:tblCellMar>
        </w:tblPrEx>
        <w:trPr>
          <w:trHeight w:val="560" w:hRule="atLeast"/>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中宋" w:hAnsi="华文中宋" w:eastAsia="华文中宋" w:cs="华文中宋"/>
                <w:color w:val="000000"/>
                <w:sz w:val="22"/>
                <w:szCs w:val="22"/>
              </w:rPr>
            </w:pPr>
            <w:r>
              <w:rPr>
                <w:rFonts w:hint="eastAsia" w:ascii="华文中宋" w:hAnsi="华文中宋" w:eastAsia="华文中宋" w:cs="华文中宋"/>
                <w:color w:val="000000"/>
                <w:kern w:val="0"/>
                <w:sz w:val="22"/>
                <w:szCs w:val="22"/>
              </w:rPr>
              <w:t>成渝高速检测点位合计</w:t>
            </w:r>
          </w:p>
        </w:tc>
        <w:tc>
          <w:tcPr>
            <w:tcW w:w="4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华文中宋" w:hAnsi="华文中宋" w:eastAsia="华文中宋" w:cs="华文中宋"/>
                <w:color w:val="000000"/>
                <w:sz w:val="22"/>
                <w:szCs w:val="22"/>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华文中宋" w:hAnsi="华文中宋" w:eastAsia="华文中宋" w:cs="华文中宋"/>
                <w:b/>
                <w:bCs/>
                <w:color w:val="000000"/>
                <w:sz w:val="22"/>
                <w:szCs w:val="22"/>
              </w:rPr>
            </w:pPr>
            <w:r>
              <w:rPr>
                <w:rFonts w:hint="eastAsia" w:ascii="华文中宋" w:hAnsi="华文中宋" w:eastAsia="华文中宋" w:cs="华文中宋"/>
                <w:b/>
                <w:bCs/>
                <w:color w:val="000000"/>
                <w:kern w:val="0"/>
                <w:sz w:val="22"/>
                <w:szCs w:val="22"/>
              </w:rPr>
              <w:t>1907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华文中宋" w:hAnsi="华文中宋" w:eastAsia="华文中宋" w:cs="华文中宋"/>
                <w:color w:val="000000"/>
                <w:sz w:val="22"/>
                <w:szCs w:val="22"/>
              </w:rPr>
            </w:pPr>
          </w:p>
        </w:tc>
      </w:tr>
      <w:tr>
        <w:tblPrEx>
          <w:tblCellMar>
            <w:top w:w="0" w:type="dxa"/>
            <w:left w:w="108" w:type="dxa"/>
            <w:bottom w:w="0" w:type="dxa"/>
            <w:right w:w="108" w:type="dxa"/>
          </w:tblCellMar>
        </w:tblPrEx>
        <w:trPr>
          <w:trHeight w:val="960" w:hRule="atLeast"/>
        </w:trPr>
        <w:tc>
          <w:tcPr>
            <w:tcW w:w="7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共计点位</w:t>
            </w:r>
          </w:p>
        </w:tc>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3514</w:t>
            </w:r>
          </w:p>
        </w:tc>
      </w:tr>
    </w:tbl>
    <w:p>
      <w:pPr>
        <w:ind w:firstLine="1470" w:firstLineChars="700"/>
      </w:pPr>
      <w:r>
        <w:br w:type="page"/>
      </w:r>
    </w:p>
    <w:p>
      <w:pPr>
        <w:pStyle w:val="5"/>
        <w:spacing w:before="0" w:after="0" w:line="240" w:lineRule="auto"/>
        <w:jc w:val="center"/>
        <w:rPr>
          <w:rFonts w:eastAsia="黑体"/>
          <w:sz w:val="36"/>
          <w:szCs w:val="36"/>
        </w:rPr>
      </w:pPr>
      <w:bookmarkStart w:id="44" w:name="_Toc202215195"/>
      <w:r>
        <w:rPr>
          <w:rFonts w:eastAsia="黑体"/>
          <w:sz w:val="36"/>
          <w:szCs w:val="36"/>
        </w:rPr>
        <w:t>第六章  比选申请文件</w:t>
      </w:r>
      <w:bookmarkEnd w:id="41"/>
      <w:bookmarkEnd w:id="42"/>
      <w:bookmarkEnd w:id="44"/>
    </w:p>
    <w:p>
      <w:pPr>
        <w:pStyle w:val="2"/>
        <w:ind w:firstLine="0" w:firstLineChars="0"/>
        <w:rPr>
          <w:rFonts w:ascii="Times New Roman" w:hAnsi="Times New Roman"/>
          <w:sz w:val="20"/>
          <w:szCs w:val="20"/>
        </w:rPr>
      </w:pPr>
    </w:p>
    <w:p>
      <w:pPr>
        <w:rPr>
          <w:sz w:val="20"/>
          <w:szCs w:val="20"/>
        </w:rPr>
      </w:pPr>
      <w:r>
        <w:rPr>
          <w:sz w:val="20"/>
          <w:szCs w:val="20"/>
        </w:rPr>
        <w:br w:type="page"/>
      </w:r>
    </w:p>
    <w:p>
      <w:pPr>
        <w:pStyle w:val="2"/>
        <w:ind w:firstLine="400"/>
        <w:rPr>
          <w:rFonts w:ascii="Times New Roman" w:hAnsi="Times New Roman"/>
          <w:sz w:val="20"/>
          <w:szCs w:val="20"/>
        </w:rPr>
      </w:pPr>
    </w:p>
    <w:p>
      <w:pPr>
        <w:rPr>
          <w:sz w:val="20"/>
          <w:szCs w:val="20"/>
        </w:rPr>
      </w:pPr>
    </w:p>
    <w:p>
      <w:pPr>
        <w:rPr>
          <w:sz w:val="20"/>
          <w:szCs w:val="20"/>
        </w:rPr>
      </w:pPr>
    </w:p>
    <w:p>
      <w:pPr>
        <w:jc w:val="center"/>
        <w:rPr>
          <w:rStyle w:val="39"/>
          <w:rFonts w:eastAsia="方正小标宋简体"/>
          <w:b/>
          <w:bCs/>
          <w:sz w:val="36"/>
          <w:szCs w:val="36"/>
        </w:rPr>
      </w:pPr>
      <w:bookmarkStart w:id="45" w:name="_Toc3531"/>
      <w:r>
        <w:rPr>
          <w:rStyle w:val="39"/>
          <w:rFonts w:eastAsia="方正小标宋简体"/>
          <w:b/>
          <w:bCs/>
          <w:color w:val="000000"/>
          <w:sz w:val="36"/>
          <w:szCs w:val="36"/>
        </w:rPr>
        <w:t>四川成渝高速公路股份有限公司公路运营管理一分公司防雷检测服务项目</w:t>
      </w:r>
      <w:bookmarkEnd w:id="45"/>
    </w:p>
    <w:p>
      <w:pPr>
        <w:jc w:val="center"/>
        <w:rPr>
          <w:rStyle w:val="39"/>
          <w:rFonts w:eastAsia="方正小标宋简体"/>
          <w:b/>
          <w:bCs/>
          <w:sz w:val="36"/>
          <w:szCs w:val="36"/>
        </w:rPr>
      </w:pPr>
    </w:p>
    <w:p>
      <w:pPr>
        <w:jc w:val="center"/>
        <w:rPr>
          <w:b/>
          <w:sz w:val="44"/>
          <w:szCs w:val="44"/>
        </w:rPr>
      </w:pPr>
      <w:bookmarkStart w:id="46" w:name="_Toc9240"/>
      <w:r>
        <w:rPr>
          <w:rFonts w:eastAsia="方正小标宋简体"/>
          <w:b/>
          <w:color w:val="000000"/>
          <w:sz w:val="52"/>
          <w:szCs w:val="52"/>
        </w:rPr>
        <w:t>比 选 申 请 文 件</w:t>
      </w:r>
      <w:bookmarkEnd w:id="46"/>
    </w:p>
    <w:p>
      <w:pPr>
        <w:rPr>
          <w:sz w:val="28"/>
          <w:szCs w:val="28"/>
        </w:rPr>
      </w:pPr>
    </w:p>
    <w:p>
      <w:pPr>
        <w:rPr>
          <w:sz w:val="28"/>
          <w:szCs w:val="28"/>
        </w:rPr>
      </w:pPr>
    </w:p>
    <w:p>
      <w:pPr>
        <w:rPr>
          <w:sz w:val="28"/>
          <w:szCs w:val="28"/>
        </w:rPr>
      </w:pPr>
    </w:p>
    <w:p>
      <w:pPr>
        <w:pStyle w:val="2"/>
        <w:ind w:firstLine="560"/>
        <w:rPr>
          <w:rFonts w:ascii="Times New Roman" w:hAnsi="Times New Roman"/>
          <w:szCs w:val="28"/>
        </w:rPr>
      </w:pPr>
    </w:p>
    <w:p>
      <w:pPr>
        <w:rPr>
          <w:sz w:val="28"/>
          <w:szCs w:val="28"/>
        </w:rPr>
      </w:pPr>
    </w:p>
    <w:p>
      <w:pPr>
        <w:rPr>
          <w:sz w:val="28"/>
          <w:szCs w:val="28"/>
        </w:rPr>
      </w:pPr>
    </w:p>
    <w:p>
      <w:pPr>
        <w:rPr>
          <w:sz w:val="28"/>
          <w:szCs w:val="28"/>
        </w:rPr>
      </w:pPr>
    </w:p>
    <w:p>
      <w:pPr>
        <w:rPr>
          <w:sz w:val="28"/>
          <w:szCs w:val="28"/>
        </w:rPr>
      </w:pPr>
    </w:p>
    <w:p>
      <w:pPr>
        <w:jc w:val="center"/>
        <w:rPr>
          <w:sz w:val="28"/>
          <w:szCs w:val="28"/>
          <w:u w:val="single"/>
        </w:rPr>
      </w:pPr>
      <w:bookmarkStart w:id="47" w:name="_Toc6740"/>
      <w:r>
        <w:rPr>
          <w:sz w:val="28"/>
          <w:szCs w:val="28"/>
        </w:rPr>
        <w:t>比选申请人：（盖单位章）</w:t>
      </w:r>
      <w:bookmarkEnd w:id="47"/>
    </w:p>
    <w:p>
      <w:pPr>
        <w:jc w:val="center"/>
        <w:rPr>
          <w:sz w:val="28"/>
          <w:szCs w:val="28"/>
        </w:rPr>
      </w:pPr>
    </w:p>
    <w:p>
      <w:pPr>
        <w:jc w:val="center"/>
        <w:rPr>
          <w:sz w:val="28"/>
          <w:szCs w:val="28"/>
        </w:rPr>
      </w:pPr>
      <w:bookmarkStart w:id="48" w:name="_Toc13922"/>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bookmarkEnd w:id="48"/>
    </w:p>
    <w:p>
      <w:pPr>
        <w:spacing w:line="540" w:lineRule="exact"/>
        <w:rPr>
          <w:sz w:val="24"/>
        </w:rPr>
      </w:pPr>
    </w:p>
    <w:p>
      <w:pPr>
        <w:pStyle w:val="2"/>
        <w:ind w:firstLine="560"/>
        <w:rPr>
          <w:rFonts w:ascii="Times New Roman" w:hAnsi="Times New Roman"/>
        </w:rPr>
      </w:pPr>
    </w:p>
    <w:p>
      <w:pPr>
        <w:rPr>
          <w:rFonts w:eastAsia="黑体"/>
          <w:sz w:val="24"/>
        </w:rPr>
      </w:pPr>
    </w:p>
    <w:p>
      <w:pPr>
        <w:jc w:val="center"/>
      </w:pPr>
      <w:r>
        <w:br w:type="page"/>
      </w:r>
    </w:p>
    <w:p>
      <w:pPr>
        <w:spacing w:line="360" w:lineRule="auto"/>
        <w:jc w:val="center"/>
        <w:rPr>
          <w:rFonts w:eastAsia="方正小标宋简体"/>
          <w:color w:val="000000"/>
          <w:sz w:val="44"/>
          <w:szCs w:val="44"/>
        </w:rPr>
      </w:pPr>
      <w:r>
        <w:rPr>
          <w:rFonts w:eastAsia="方正小标宋简体"/>
          <w:color w:val="000000"/>
          <w:sz w:val="44"/>
          <w:szCs w:val="44"/>
        </w:rPr>
        <w:t>目  录</w:t>
      </w:r>
    </w:p>
    <w:p>
      <w:pPr>
        <w:pStyle w:val="14"/>
        <w:spacing w:line="360" w:lineRule="auto"/>
        <w:rPr>
          <w:rFonts w:ascii="Times New Roman" w:hAnsi="Times New Roman"/>
          <w:color w:val="000000"/>
          <w:sz w:val="32"/>
          <w:szCs w:val="32"/>
        </w:rPr>
      </w:pPr>
    </w:p>
    <w:p>
      <w:pPr>
        <w:spacing w:line="360" w:lineRule="auto"/>
        <w:rPr>
          <w:rFonts w:eastAsia="黑体"/>
          <w:color w:val="000000"/>
          <w:sz w:val="32"/>
        </w:rPr>
      </w:pPr>
      <w:bookmarkStart w:id="49" w:name="_Toc10085"/>
      <w:bookmarkStart w:id="50" w:name="_Toc202215196"/>
      <w:r>
        <w:rPr>
          <w:rFonts w:eastAsia="黑体"/>
          <w:color w:val="000000"/>
          <w:sz w:val="32"/>
        </w:rPr>
        <w:t>(一)比选申请函</w:t>
      </w:r>
      <w:bookmarkEnd w:id="49"/>
      <w:bookmarkEnd w:id="50"/>
    </w:p>
    <w:p>
      <w:pPr>
        <w:spacing w:line="360" w:lineRule="auto"/>
        <w:rPr>
          <w:rFonts w:eastAsia="黑体"/>
          <w:color w:val="000000"/>
          <w:sz w:val="32"/>
        </w:rPr>
      </w:pPr>
      <w:bookmarkStart w:id="51" w:name="_Toc202215197"/>
      <w:bookmarkStart w:id="52" w:name="_Toc136"/>
      <w:r>
        <w:rPr>
          <w:rFonts w:eastAsia="黑体"/>
          <w:color w:val="000000"/>
          <w:sz w:val="32"/>
        </w:rPr>
        <w:t>(二)法定代表人身份证明</w:t>
      </w:r>
      <w:bookmarkEnd w:id="51"/>
      <w:bookmarkEnd w:id="52"/>
    </w:p>
    <w:p>
      <w:pPr>
        <w:spacing w:line="360" w:lineRule="auto"/>
        <w:rPr>
          <w:rFonts w:eastAsia="黑体"/>
          <w:color w:val="000000"/>
          <w:sz w:val="32"/>
        </w:rPr>
      </w:pPr>
      <w:bookmarkStart w:id="53" w:name="_Toc15748"/>
      <w:bookmarkStart w:id="54" w:name="_Toc202215198"/>
      <w:r>
        <w:rPr>
          <w:rFonts w:eastAsia="黑体"/>
          <w:color w:val="000000"/>
          <w:sz w:val="32"/>
        </w:rPr>
        <w:t>(三)授权委托书</w:t>
      </w:r>
      <w:bookmarkEnd w:id="53"/>
      <w:bookmarkEnd w:id="54"/>
    </w:p>
    <w:p>
      <w:pPr>
        <w:spacing w:line="360" w:lineRule="auto"/>
        <w:rPr>
          <w:rFonts w:eastAsia="黑体"/>
          <w:color w:val="000000"/>
          <w:sz w:val="32"/>
        </w:rPr>
      </w:pPr>
      <w:bookmarkStart w:id="55" w:name="_Toc1683"/>
      <w:bookmarkStart w:id="56" w:name="_Toc202215199"/>
      <w:r>
        <w:rPr>
          <w:rFonts w:eastAsia="黑体"/>
          <w:color w:val="000000"/>
          <w:sz w:val="32"/>
        </w:rPr>
        <w:t>(四)比选申请人基本情况表</w:t>
      </w:r>
      <w:bookmarkEnd w:id="55"/>
      <w:bookmarkEnd w:id="56"/>
      <w:r>
        <w:rPr>
          <w:rFonts w:hint="eastAsia" w:eastAsia="黑体"/>
          <w:color w:val="000000"/>
          <w:sz w:val="32"/>
        </w:rPr>
        <w:t>及拟委任项目负责人资历表</w:t>
      </w:r>
    </w:p>
    <w:p>
      <w:pPr>
        <w:spacing w:line="360" w:lineRule="auto"/>
        <w:rPr>
          <w:rFonts w:eastAsia="黑体"/>
          <w:color w:val="000000"/>
          <w:sz w:val="32"/>
        </w:rPr>
      </w:pPr>
      <w:bookmarkStart w:id="57" w:name="_Toc24529"/>
      <w:bookmarkStart w:id="58" w:name="_Toc202215200"/>
      <w:r>
        <w:rPr>
          <w:rFonts w:eastAsia="黑体"/>
          <w:color w:val="000000"/>
          <w:sz w:val="32"/>
        </w:rPr>
        <w:t>(五)近年承担的业绩情况表</w:t>
      </w:r>
      <w:bookmarkEnd w:id="57"/>
      <w:bookmarkEnd w:id="58"/>
    </w:p>
    <w:p>
      <w:pPr>
        <w:spacing w:line="360" w:lineRule="auto"/>
        <w:rPr>
          <w:rFonts w:eastAsia="黑体"/>
          <w:color w:val="000000"/>
          <w:sz w:val="32"/>
        </w:rPr>
      </w:pPr>
      <w:bookmarkStart w:id="59" w:name="_Toc202215201"/>
      <w:bookmarkStart w:id="60" w:name="_Toc22924"/>
      <w:r>
        <w:rPr>
          <w:rFonts w:eastAsia="黑体"/>
          <w:color w:val="000000"/>
          <w:sz w:val="32"/>
        </w:rPr>
        <w:t>(六)信誉资料</w:t>
      </w:r>
      <w:bookmarkEnd w:id="59"/>
      <w:bookmarkEnd w:id="60"/>
    </w:p>
    <w:p>
      <w:pPr>
        <w:jc w:val="left"/>
      </w:pPr>
      <w:bookmarkStart w:id="61" w:name="_Toc202215202"/>
      <w:bookmarkStart w:id="62" w:name="_Toc13291"/>
      <w:r>
        <w:rPr>
          <w:rFonts w:eastAsia="黑体"/>
          <w:color w:val="000000"/>
          <w:sz w:val="32"/>
        </w:rPr>
        <w:t>(七)其他资料（如有）</w:t>
      </w:r>
      <w:bookmarkEnd w:id="61"/>
      <w:r>
        <w:br w:type="page"/>
      </w:r>
      <w:bookmarkEnd w:id="62"/>
    </w:p>
    <w:p>
      <w:pPr>
        <w:pStyle w:val="6"/>
        <w:spacing w:line="360" w:lineRule="auto"/>
        <w:jc w:val="center"/>
        <w:rPr>
          <w:rFonts w:ascii="Times New Roman" w:hAnsi="Times New Roman"/>
        </w:rPr>
      </w:pPr>
      <w:bookmarkStart w:id="63" w:name="_Toc1613"/>
      <w:r>
        <w:rPr>
          <w:rFonts w:ascii="Times New Roman" w:hAnsi="Times New Roman"/>
        </w:rPr>
        <w:t>（一）比选申请函</w:t>
      </w:r>
      <w:bookmarkEnd w:id="63"/>
    </w:p>
    <w:p>
      <w:pPr>
        <w:wordWrap w:val="0"/>
        <w:spacing w:line="400" w:lineRule="exact"/>
        <w:jc w:val="left"/>
        <w:rPr>
          <w:color w:val="000000"/>
          <w:sz w:val="24"/>
        </w:rPr>
      </w:pPr>
      <w:r>
        <w:rPr>
          <w:color w:val="000000"/>
          <w:sz w:val="24"/>
        </w:rPr>
        <w:t>四川成渝高速公路股份有限公司公路运营管理一分公司：</w:t>
      </w:r>
    </w:p>
    <w:p>
      <w:pPr>
        <w:spacing w:line="400" w:lineRule="exact"/>
        <w:ind w:firstLine="480" w:firstLineChars="200"/>
        <w:rPr>
          <w:color w:val="000000"/>
          <w:sz w:val="24"/>
        </w:rPr>
      </w:pPr>
      <w:r>
        <w:rPr>
          <w:color w:val="000000"/>
          <w:sz w:val="24"/>
        </w:rPr>
        <w:t>一、我方已仔细研究</w:t>
      </w:r>
      <w:r>
        <w:rPr>
          <w:color w:val="000000"/>
          <w:sz w:val="24"/>
          <w:u w:val="single"/>
        </w:rPr>
        <w:t>（项目名称）</w:t>
      </w:r>
      <w:r>
        <w:rPr>
          <w:color w:val="000000"/>
          <w:sz w:val="24"/>
        </w:rPr>
        <w:t>比选文件的全部内容(含所有补遗书</w:t>
      </w:r>
      <w:r>
        <w:rPr>
          <w:rFonts w:hint="eastAsia"/>
          <w:color w:val="000000"/>
          <w:sz w:val="24"/>
        </w:rPr>
        <w:t>)</w:t>
      </w:r>
      <w:r>
        <w:rPr>
          <w:color w:val="000000"/>
          <w:sz w:val="24"/>
        </w:rPr>
        <w:t>，在考察现场后，我方愿意以人民币大写：</w:t>
      </w:r>
      <w:r>
        <w:rPr>
          <w:rFonts w:hint="eastAsia"/>
          <w:color w:val="000000"/>
          <w:sz w:val="24"/>
          <w:u w:val="single"/>
          <w:lang w:val="en-US" w:eastAsia="zh-CN"/>
        </w:rPr>
        <w:t xml:space="preserve">     </w:t>
      </w:r>
      <w:r>
        <w:rPr>
          <w:rFonts w:hint="eastAsia"/>
          <w:color w:val="000000"/>
          <w:sz w:val="24"/>
        </w:rPr>
        <w:t>，</w:t>
      </w:r>
      <w:r>
        <w:rPr>
          <w:color w:val="000000"/>
          <w:sz w:val="24"/>
        </w:rPr>
        <w:t>小写：</w:t>
      </w:r>
      <w:r>
        <w:rPr>
          <w:rFonts w:hint="eastAsia"/>
          <w:color w:val="000000"/>
          <w:sz w:val="24"/>
          <w:u w:val="single"/>
        </w:rPr>
        <w:t xml:space="preserve">    元</w:t>
      </w:r>
      <w:r>
        <w:rPr>
          <w:rFonts w:hint="eastAsia"/>
          <w:color w:val="000000"/>
          <w:sz w:val="24"/>
        </w:rPr>
        <w:t>（含税）</w:t>
      </w:r>
      <w:r>
        <w:rPr>
          <w:color w:val="000000"/>
          <w:sz w:val="24"/>
        </w:rPr>
        <w:t>，作为本次比选申请报价（</w:t>
      </w:r>
      <w:r>
        <w:rPr>
          <w:rFonts w:hint="eastAsia"/>
          <w:color w:val="000000"/>
          <w:sz w:val="24"/>
        </w:rPr>
        <w:t>报价明细详见附件</w:t>
      </w:r>
      <w:r>
        <w:rPr>
          <w:color w:val="000000"/>
          <w:sz w:val="24"/>
        </w:rPr>
        <w:t>），按合同约定承担本项目工作。</w:t>
      </w:r>
    </w:p>
    <w:p>
      <w:pPr>
        <w:pStyle w:val="11"/>
        <w:spacing w:after="0" w:line="400" w:lineRule="exact"/>
        <w:ind w:firstLine="480" w:firstLineChars="200"/>
        <w:rPr>
          <w:color w:val="000000"/>
          <w:sz w:val="24"/>
          <w:u w:val="single"/>
        </w:rPr>
      </w:pPr>
      <w:r>
        <w:rPr>
          <w:color w:val="000000"/>
          <w:sz w:val="24"/>
        </w:rPr>
        <w:t>二、</w:t>
      </w:r>
      <w:r>
        <w:rPr>
          <w:rFonts w:hint="eastAsia"/>
          <w:color w:val="000000"/>
          <w:sz w:val="24"/>
        </w:rPr>
        <w:t>检测服务质量</w:t>
      </w:r>
      <w:r>
        <w:rPr>
          <w:color w:val="000000"/>
          <w:sz w:val="24"/>
        </w:rPr>
        <w:t>：</w:t>
      </w:r>
      <w:r>
        <w:rPr>
          <w:color w:val="000000"/>
          <w:sz w:val="24"/>
          <w:u w:val="single"/>
        </w:rPr>
        <w:t>满足比选文件要求，</w:t>
      </w:r>
      <w:r>
        <w:rPr>
          <w:color w:val="000000"/>
          <w:sz w:val="24"/>
        </w:rPr>
        <w:t>安全目标：</w:t>
      </w:r>
      <w:r>
        <w:rPr>
          <w:color w:val="000000"/>
          <w:sz w:val="24"/>
          <w:u w:val="single"/>
        </w:rPr>
        <w:t>满足</w:t>
      </w:r>
      <w:r>
        <w:rPr>
          <w:rFonts w:hint="eastAsia"/>
          <w:color w:val="000000"/>
          <w:sz w:val="24"/>
          <w:u w:val="single"/>
        </w:rPr>
        <w:t>国家法律法规、行业主管部门、</w:t>
      </w:r>
      <w:r>
        <w:rPr>
          <w:color w:val="000000"/>
          <w:sz w:val="24"/>
          <w:u w:val="single"/>
        </w:rPr>
        <w:t>比选文件要求，</w:t>
      </w:r>
      <w:r>
        <w:rPr>
          <w:color w:val="000000"/>
          <w:sz w:val="24"/>
        </w:rPr>
        <w:t>合同工期：</w:t>
      </w:r>
      <w:r>
        <w:rPr>
          <w:color w:val="000000"/>
          <w:sz w:val="24"/>
          <w:u w:val="single"/>
        </w:rPr>
        <w:t>30</w:t>
      </w:r>
      <w:r>
        <w:rPr>
          <w:rFonts w:hint="eastAsia"/>
          <w:color w:val="000000"/>
          <w:sz w:val="24"/>
          <w:u w:val="single"/>
        </w:rPr>
        <w:t>日历</w:t>
      </w:r>
      <w:r>
        <w:rPr>
          <w:color w:val="000000"/>
          <w:sz w:val="24"/>
          <w:u w:val="single"/>
        </w:rPr>
        <w:t>日。</w:t>
      </w:r>
    </w:p>
    <w:p>
      <w:pPr>
        <w:pStyle w:val="11"/>
        <w:spacing w:after="0" w:line="400" w:lineRule="exact"/>
        <w:ind w:firstLine="480" w:firstLineChars="200"/>
        <w:rPr>
          <w:color w:val="000000"/>
          <w:sz w:val="24"/>
        </w:rPr>
      </w:pPr>
      <w:r>
        <w:rPr>
          <w:rFonts w:hint="eastAsia"/>
          <w:color w:val="000000"/>
          <w:sz w:val="24"/>
        </w:rPr>
        <w:t>三、项目负责人</w:t>
      </w:r>
      <w:r>
        <w:rPr>
          <w:sz w:val="24"/>
        </w:rPr>
        <w:t>姓名：</w:t>
      </w:r>
      <w:r>
        <w:rPr>
          <w:rFonts w:hint="eastAsia"/>
          <w:sz w:val="24"/>
          <w:u w:val="single"/>
          <w:lang w:val="en-US" w:eastAsia="zh-CN"/>
        </w:rPr>
        <w:t xml:space="preserve">   </w:t>
      </w:r>
      <w:r>
        <w:rPr>
          <w:sz w:val="24"/>
        </w:rPr>
        <w:t>，性别：</w:t>
      </w:r>
      <w:r>
        <w:rPr>
          <w:rFonts w:hint="eastAsia"/>
          <w:sz w:val="24"/>
          <w:u w:val="single"/>
          <w:lang w:val="en-US" w:eastAsia="zh-CN"/>
        </w:rPr>
        <w:t xml:space="preserve">    </w:t>
      </w:r>
      <w:r>
        <w:rPr>
          <w:sz w:val="24"/>
        </w:rPr>
        <w:t>，年龄：</w:t>
      </w:r>
      <w:r>
        <w:rPr>
          <w:rFonts w:hint="eastAsia"/>
          <w:sz w:val="24"/>
          <w:u w:val="single"/>
          <w:lang w:val="en-US" w:eastAsia="zh-CN"/>
        </w:rPr>
        <w:t xml:space="preserve">    </w:t>
      </w:r>
      <w:r>
        <w:rPr>
          <w:sz w:val="24"/>
        </w:rPr>
        <w:t>， 职称：</w:t>
      </w:r>
      <w:r>
        <w:rPr>
          <w:rFonts w:hint="eastAsia"/>
          <w:sz w:val="24"/>
          <w:u w:val="single"/>
          <w:lang w:val="en-US" w:eastAsia="zh-CN"/>
        </w:rPr>
        <w:t xml:space="preserve">    </w:t>
      </w:r>
      <w:r>
        <w:rPr>
          <w:sz w:val="24"/>
        </w:rPr>
        <w:t>。</w:t>
      </w:r>
    </w:p>
    <w:p>
      <w:pPr>
        <w:wordWrap w:val="0"/>
        <w:spacing w:line="400" w:lineRule="exact"/>
        <w:ind w:firstLine="480" w:firstLineChars="200"/>
        <w:jc w:val="left"/>
        <w:rPr>
          <w:color w:val="000000"/>
          <w:sz w:val="24"/>
        </w:rPr>
      </w:pPr>
      <w:r>
        <w:rPr>
          <w:rFonts w:hint="eastAsia"/>
          <w:color w:val="000000"/>
          <w:sz w:val="24"/>
        </w:rPr>
        <w:t>四</w:t>
      </w:r>
      <w:r>
        <w:rPr>
          <w:color w:val="000000"/>
          <w:sz w:val="24"/>
        </w:rPr>
        <w:t xml:space="preserve">、我方承诺在比选文件规定的比选申请有效期内不撤销比选申请文件。 </w:t>
      </w:r>
    </w:p>
    <w:p>
      <w:pPr>
        <w:wordWrap w:val="0"/>
        <w:spacing w:line="400" w:lineRule="exact"/>
        <w:ind w:firstLine="480" w:firstLineChars="200"/>
        <w:jc w:val="left"/>
        <w:rPr>
          <w:color w:val="000000"/>
          <w:sz w:val="24"/>
        </w:rPr>
      </w:pPr>
      <w:r>
        <w:rPr>
          <w:rFonts w:hint="eastAsia"/>
          <w:color w:val="000000"/>
          <w:sz w:val="24"/>
        </w:rPr>
        <w:t>五</w:t>
      </w:r>
      <w:r>
        <w:rPr>
          <w:color w:val="000000"/>
          <w:sz w:val="24"/>
        </w:rPr>
        <w:t>、如我方中选，我方承诺</w:t>
      </w:r>
    </w:p>
    <w:p>
      <w:pPr>
        <w:wordWrap w:val="0"/>
        <w:spacing w:line="400" w:lineRule="exact"/>
        <w:ind w:firstLine="480" w:firstLineChars="200"/>
        <w:jc w:val="left"/>
        <w:rPr>
          <w:color w:val="000000"/>
          <w:sz w:val="24"/>
        </w:rPr>
      </w:pPr>
      <w:r>
        <w:rPr>
          <w:color w:val="000000"/>
          <w:sz w:val="24"/>
        </w:rPr>
        <w:t>（1）在收到中选通知书后，在中选通知书规定的期限内与你方签订合同；</w:t>
      </w:r>
    </w:p>
    <w:p>
      <w:pPr>
        <w:wordWrap w:val="0"/>
        <w:spacing w:line="400" w:lineRule="exact"/>
        <w:ind w:firstLine="480" w:firstLineChars="200"/>
        <w:jc w:val="left"/>
        <w:rPr>
          <w:color w:val="000000"/>
          <w:sz w:val="24"/>
        </w:rPr>
      </w:pPr>
      <w:r>
        <w:rPr>
          <w:color w:val="000000"/>
          <w:sz w:val="24"/>
        </w:rPr>
        <w:t>（2）</w:t>
      </w:r>
      <w:r>
        <w:rPr>
          <w:rFonts w:hint="eastAsia"/>
          <w:color w:val="000000"/>
          <w:sz w:val="24"/>
        </w:rPr>
        <w:t>合同签订前，向你方提供2名符合“合同协议书-第三条 工作条件和协作事项-第三款”要求的技术人员，否则你方有权取消我方中选资格</w:t>
      </w:r>
      <w:r>
        <w:rPr>
          <w:color w:val="000000"/>
          <w:sz w:val="24"/>
        </w:rPr>
        <w:t>；</w:t>
      </w:r>
    </w:p>
    <w:p>
      <w:pPr>
        <w:wordWrap w:val="0"/>
        <w:spacing w:line="400" w:lineRule="exact"/>
        <w:ind w:firstLine="480" w:firstLineChars="200"/>
        <w:jc w:val="left"/>
        <w:rPr>
          <w:color w:val="000000"/>
          <w:sz w:val="24"/>
        </w:rPr>
      </w:pPr>
      <w:r>
        <w:rPr>
          <w:color w:val="000000"/>
          <w:sz w:val="24"/>
        </w:rPr>
        <w:t>（</w:t>
      </w:r>
      <w:r>
        <w:rPr>
          <w:rFonts w:hint="eastAsia"/>
          <w:color w:val="000000"/>
          <w:sz w:val="24"/>
        </w:rPr>
        <w:t>3</w:t>
      </w:r>
      <w:r>
        <w:rPr>
          <w:color w:val="000000"/>
          <w:sz w:val="24"/>
        </w:rPr>
        <w:t>）</w:t>
      </w:r>
      <w:r>
        <w:rPr>
          <w:rFonts w:hint="eastAsia"/>
          <w:color w:val="000000"/>
          <w:sz w:val="24"/>
        </w:rPr>
        <w:t>响应比选文件及合同条款，</w:t>
      </w:r>
      <w:r>
        <w:rPr>
          <w:color w:val="000000"/>
          <w:sz w:val="24"/>
        </w:rPr>
        <w:t>在签订合同时不向你方提出附加条件；</w:t>
      </w:r>
    </w:p>
    <w:p>
      <w:pPr>
        <w:wordWrap w:val="0"/>
        <w:spacing w:line="400" w:lineRule="exact"/>
        <w:ind w:firstLine="480" w:firstLineChars="200"/>
        <w:jc w:val="left"/>
        <w:rPr>
          <w:color w:val="000000"/>
          <w:sz w:val="24"/>
        </w:rPr>
      </w:pPr>
      <w:r>
        <w:rPr>
          <w:color w:val="000000"/>
          <w:sz w:val="24"/>
        </w:rPr>
        <w:t>（</w:t>
      </w:r>
      <w:r>
        <w:rPr>
          <w:rFonts w:hint="eastAsia"/>
          <w:color w:val="000000"/>
          <w:sz w:val="24"/>
        </w:rPr>
        <w:t>4</w:t>
      </w:r>
      <w:r>
        <w:rPr>
          <w:color w:val="000000"/>
          <w:sz w:val="24"/>
        </w:rPr>
        <w:t>）在合同约定的期限内按照你方的技术和管理要求完成合同规定的全部义务。</w:t>
      </w:r>
    </w:p>
    <w:p>
      <w:pPr>
        <w:wordWrap w:val="0"/>
        <w:spacing w:line="400" w:lineRule="exact"/>
        <w:ind w:firstLine="480" w:firstLineChars="200"/>
        <w:jc w:val="left"/>
        <w:rPr>
          <w:color w:val="000000"/>
          <w:sz w:val="24"/>
        </w:rPr>
      </w:pPr>
      <w:r>
        <w:rPr>
          <w:rFonts w:hint="eastAsia"/>
          <w:color w:val="000000"/>
          <w:sz w:val="24"/>
        </w:rPr>
        <w:t>六</w:t>
      </w:r>
      <w:r>
        <w:rPr>
          <w:color w:val="000000"/>
          <w:sz w:val="24"/>
        </w:rPr>
        <w:t>、我方愿意提供比选人可能另外要求的，与比选有关的文件资料，并保证我方已提供和将要提供的文件资料是真实、准确的。且不存在比选文件第二章</w:t>
      </w:r>
      <w:r>
        <w:rPr>
          <w:rFonts w:hint="eastAsia"/>
          <w:color w:val="000000"/>
          <w:sz w:val="24"/>
        </w:rPr>
        <w:t>“</w:t>
      </w:r>
      <w:r>
        <w:rPr>
          <w:color w:val="000000"/>
          <w:sz w:val="24"/>
        </w:rPr>
        <w:t>比选申请人须知</w:t>
      </w:r>
      <w:r>
        <w:rPr>
          <w:rFonts w:hint="eastAsia"/>
          <w:color w:val="000000"/>
          <w:sz w:val="24"/>
        </w:rPr>
        <w:t>”</w:t>
      </w:r>
      <w:r>
        <w:rPr>
          <w:color w:val="000000"/>
          <w:sz w:val="24"/>
        </w:rPr>
        <w:t>第36项规定的任何一种情形。同时，比选申请文件中权利义务符合第二章</w:t>
      </w:r>
      <w:r>
        <w:rPr>
          <w:rFonts w:hint="eastAsia"/>
          <w:color w:val="000000"/>
          <w:sz w:val="24"/>
        </w:rPr>
        <w:t>“</w:t>
      </w:r>
      <w:r>
        <w:rPr>
          <w:color w:val="000000"/>
          <w:sz w:val="24"/>
        </w:rPr>
        <w:t>比选申请人须知</w:t>
      </w:r>
      <w:r>
        <w:rPr>
          <w:rFonts w:hint="eastAsia"/>
          <w:color w:val="000000"/>
          <w:sz w:val="24"/>
        </w:rPr>
        <w:t>”</w:t>
      </w:r>
      <w:r>
        <w:rPr>
          <w:color w:val="000000"/>
          <w:sz w:val="24"/>
        </w:rPr>
        <w:t>前附表第37款的规定。</w:t>
      </w:r>
    </w:p>
    <w:p>
      <w:pPr>
        <w:wordWrap w:val="0"/>
        <w:spacing w:line="400" w:lineRule="exact"/>
        <w:ind w:firstLine="480" w:firstLineChars="200"/>
        <w:jc w:val="left"/>
        <w:rPr>
          <w:color w:val="000000"/>
          <w:sz w:val="24"/>
        </w:rPr>
      </w:pPr>
      <w:r>
        <w:rPr>
          <w:rFonts w:hint="eastAsia"/>
          <w:color w:val="000000"/>
          <w:sz w:val="24"/>
        </w:rPr>
        <w:t>七</w:t>
      </w:r>
      <w:r>
        <w:rPr>
          <w:color w:val="000000"/>
          <w:sz w:val="24"/>
        </w:rPr>
        <w:t>、若我方为第一中选候选人，但因存在</w:t>
      </w:r>
      <w:r>
        <w:rPr>
          <w:rFonts w:hint="eastAsia"/>
          <w:color w:val="000000"/>
          <w:sz w:val="24"/>
        </w:rPr>
        <w:t>“</w:t>
      </w:r>
      <w:r>
        <w:rPr>
          <w:color w:val="000000"/>
          <w:sz w:val="24"/>
        </w:rPr>
        <w:t>比选申请人须知</w:t>
      </w:r>
      <w:r>
        <w:rPr>
          <w:rFonts w:hint="eastAsia"/>
          <w:color w:val="000000"/>
          <w:sz w:val="24"/>
        </w:rPr>
        <w:t>”</w:t>
      </w:r>
      <w:r>
        <w:rPr>
          <w:color w:val="000000"/>
          <w:sz w:val="24"/>
        </w:rPr>
        <w:t>第36项涉及关联关系，我方自愿放弃第一中选候选人资格。</w:t>
      </w:r>
    </w:p>
    <w:p>
      <w:pPr>
        <w:wordWrap w:val="0"/>
        <w:spacing w:line="400" w:lineRule="exact"/>
        <w:ind w:firstLine="480" w:firstLineChars="200"/>
        <w:jc w:val="left"/>
        <w:rPr>
          <w:color w:val="000000"/>
          <w:sz w:val="24"/>
        </w:rPr>
      </w:pPr>
      <w:r>
        <w:rPr>
          <w:rFonts w:hint="eastAsia"/>
          <w:color w:val="000000"/>
          <w:sz w:val="24"/>
        </w:rPr>
        <w:t>八</w:t>
      </w:r>
      <w:r>
        <w:rPr>
          <w:color w:val="000000"/>
          <w:sz w:val="24"/>
        </w:rPr>
        <w:t>、在合同协议书正式签署生效之前，本比选申请书连同你方的中选通知书将构成双方之间共同遵守的文件，对双方具有约束力。</w:t>
      </w:r>
    </w:p>
    <w:p>
      <w:pPr>
        <w:wordWrap w:val="0"/>
        <w:spacing w:line="400" w:lineRule="exact"/>
        <w:ind w:firstLine="480" w:firstLineChars="200"/>
        <w:jc w:val="left"/>
        <w:rPr>
          <w:color w:val="000000"/>
          <w:sz w:val="24"/>
        </w:rPr>
      </w:pPr>
      <w:r>
        <w:rPr>
          <w:rFonts w:hint="eastAsia"/>
          <w:color w:val="000000"/>
          <w:sz w:val="24"/>
        </w:rPr>
        <w:t>九</w:t>
      </w:r>
      <w:r>
        <w:rPr>
          <w:color w:val="000000"/>
          <w:sz w:val="24"/>
        </w:rPr>
        <w:t>、</w:t>
      </w:r>
      <w:r>
        <w:rPr>
          <w:color w:val="000000"/>
          <w:sz w:val="24"/>
          <w:u w:val="single"/>
        </w:rPr>
        <w:tab/>
      </w:r>
      <w:r>
        <w:rPr>
          <w:color w:val="000000"/>
          <w:sz w:val="24"/>
        </w:rPr>
        <w:t>(其他补充说明)。</w:t>
      </w:r>
    </w:p>
    <w:p>
      <w:pPr>
        <w:spacing w:line="400" w:lineRule="exact"/>
        <w:ind w:right="420"/>
        <w:jc w:val="center"/>
        <w:rPr>
          <w:color w:val="000000"/>
          <w:sz w:val="24"/>
        </w:rPr>
      </w:pPr>
      <w:r>
        <w:rPr>
          <w:color w:val="000000"/>
          <w:sz w:val="24"/>
        </w:rPr>
        <w:t xml:space="preserve"> 比选申请人：  </w:t>
      </w:r>
      <w:r>
        <w:rPr>
          <w:color w:val="000000"/>
          <w:sz w:val="24"/>
          <w:u w:val="single"/>
        </w:rPr>
        <w:t xml:space="preserve">（全称）           </w:t>
      </w:r>
      <w:r>
        <w:rPr>
          <w:color w:val="000000"/>
          <w:sz w:val="24"/>
        </w:rPr>
        <w:t>（单位盖章）</w:t>
      </w:r>
    </w:p>
    <w:p>
      <w:pPr>
        <w:spacing w:line="400" w:lineRule="exact"/>
        <w:rPr>
          <w:color w:val="000000"/>
          <w:sz w:val="24"/>
        </w:rPr>
      </w:pPr>
      <w:r>
        <w:rPr>
          <w:color w:val="000000"/>
          <w:sz w:val="24"/>
        </w:rPr>
        <w:t xml:space="preserve">                            法定代表人或其委托的代理人：（签字）</w:t>
      </w:r>
    </w:p>
    <w:p>
      <w:pPr>
        <w:spacing w:line="400" w:lineRule="exact"/>
        <w:rPr>
          <w:color w:val="000000"/>
          <w:sz w:val="24"/>
        </w:rPr>
      </w:pPr>
      <w:r>
        <w:rPr>
          <w:color w:val="000000"/>
          <w:sz w:val="24"/>
        </w:rPr>
        <w:t xml:space="preserve">                            地址：</w:t>
      </w:r>
    </w:p>
    <w:p>
      <w:pPr>
        <w:spacing w:line="400" w:lineRule="exact"/>
        <w:rPr>
          <w:color w:val="000000"/>
          <w:sz w:val="24"/>
        </w:rPr>
      </w:pPr>
      <w:r>
        <w:rPr>
          <w:color w:val="000000"/>
          <w:sz w:val="24"/>
        </w:rPr>
        <w:t xml:space="preserve">                            电话：</w:t>
      </w:r>
    </w:p>
    <w:p>
      <w:pPr>
        <w:spacing w:line="400" w:lineRule="exact"/>
        <w:rPr>
          <w:color w:val="000000"/>
          <w:sz w:val="24"/>
        </w:rPr>
      </w:pPr>
      <w:r>
        <w:rPr>
          <w:color w:val="000000"/>
          <w:sz w:val="24"/>
        </w:rPr>
        <w:t xml:space="preserve">                            传真：</w:t>
      </w:r>
    </w:p>
    <w:p>
      <w:pPr>
        <w:spacing w:line="400" w:lineRule="exact"/>
        <w:rPr>
          <w:color w:val="000000"/>
          <w:sz w:val="24"/>
        </w:rPr>
      </w:pPr>
      <w:r>
        <w:rPr>
          <w:color w:val="000000"/>
          <w:sz w:val="24"/>
        </w:rPr>
        <w:t xml:space="preserve">                            邮政编码：</w:t>
      </w:r>
    </w:p>
    <w:p>
      <w:pPr>
        <w:spacing w:line="400" w:lineRule="exact"/>
        <w:rPr>
          <w:color w:val="000000"/>
          <w:sz w:val="24"/>
        </w:rPr>
      </w:pPr>
      <w:r>
        <w:rPr>
          <w:color w:val="000000"/>
          <w:sz w:val="24"/>
        </w:rPr>
        <w:t xml:space="preserve">                            日期： 年月 日</w:t>
      </w:r>
    </w:p>
    <w:p>
      <w:pPr>
        <w:rPr>
          <w:color w:val="000000"/>
          <w:sz w:val="24"/>
        </w:rPr>
      </w:pPr>
      <w:r>
        <w:rPr>
          <w:color w:val="000000"/>
          <w:sz w:val="24"/>
        </w:rPr>
        <w:br w:type="page"/>
      </w:r>
    </w:p>
    <w:p>
      <w:pPr>
        <w:widowControl/>
        <w:jc w:val="left"/>
        <w:rPr>
          <w:rFonts w:eastAsia="黑体"/>
          <w:sz w:val="32"/>
          <w:szCs w:val="32"/>
        </w:rPr>
      </w:pPr>
      <w:r>
        <w:rPr>
          <w:rFonts w:hint="eastAsia" w:eastAsia="黑体"/>
          <w:sz w:val="32"/>
          <w:szCs w:val="32"/>
        </w:rPr>
        <w:t>附件</w:t>
      </w:r>
    </w:p>
    <w:p>
      <w:pPr>
        <w:widowControl/>
        <w:jc w:val="center"/>
        <w:rPr>
          <w:rStyle w:val="39"/>
          <w:rFonts w:eastAsia="方正小标宋简体"/>
          <w:b/>
          <w:bCs/>
          <w:color w:val="000000"/>
          <w:sz w:val="36"/>
          <w:szCs w:val="36"/>
        </w:rPr>
      </w:pPr>
      <w:r>
        <w:rPr>
          <w:rStyle w:val="39"/>
          <w:rFonts w:eastAsia="方正小标宋简体"/>
          <w:b/>
          <w:bCs/>
          <w:color w:val="000000"/>
          <w:sz w:val="36"/>
          <w:szCs w:val="36"/>
        </w:rPr>
        <w:t>四川成渝高速公路股份有限公司</w:t>
      </w:r>
    </w:p>
    <w:p>
      <w:pPr>
        <w:widowControl/>
        <w:jc w:val="center"/>
        <w:rPr>
          <w:rFonts w:eastAsia="黑体"/>
          <w:sz w:val="32"/>
          <w:szCs w:val="32"/>
        </w:rPr>
      </w:pPr>
      <w:r>
        <w:rPr>
          <w:rStyle w:val="39"/>
          <w:rFonts w:eastAsia="方正小标宋简体"/>
          <w:b/>
          <w:bCs/>
          <w:color w:val="000000"/>
          <w:sz w:val="36"/>
          <w:szCs w:val="36"/>
        </w:rPr>
        <w:t>公路运营管理一分公司防雷检测服务项目</w:t>
      </w:r>
      <w:r>
        <w:rPr>
          <w:rStyle w:val="39"/>
          <w:rFonts w:hint="eastAsia" w:eastAsia="方正小标宋简体"/>
          <w:b/>
          <w:bCs/>
          <w:color w:val="000000"/>
          <w:sz w:val="36"/>
          <w:szCs w:val="36"/>
        </w:rPr>
        <w:t>报价表</w:t>
      </w:r>
    </w:p>
    <w:p>
      <w:pPr>
        <w:widowControl/>
        <w:jc w:val="left"/>
        <w:rPr>
          <w:rFonts w:eastAsia="黑体"/>
          <w:sz w:val="32"/>
          <w:szCs w:val="32"/>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4202"/>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093" w:type="dxa"/>
            <w:vAlign w:val="center"/>
          </w:tcPr>
          <w:p>
            <w:pPr>
              <w:widowControl/>
              <w:jc w:val="center"/>
              <w:rPr>
                <w:rFonts w:eastAsia="黑体"/>
                <w:sz w:val="28"/>
                <w:szCs w:val="28"/>
              </w:rPr>
            </w:pPr>
            <w:r>
              <w:rPr>
                <w:rFonts w:hint="eastAsia" w:eastAsia="黑体"/>
                <w:sz w:val="28"/>
                <w:szCs w:val="28"/>
              </w:rPr>
              <w:t>序号</w:t>
            </w:r>
          </w:p>
        </w:tc>
        <w:tc>
          <w:tcPr>
            <w:tcW w:w="4202" w:type="dxa"/>
            <w:vAlign w:val="center"/>
          </w:tcPr>
          <w:p>
            <w:pPr>
              <w:widowControl/>
              <w:jc w:val="center"/>
              <w:rPr>
                <w:rFonts w:eastAsia="黑体"/>
                <w:sz w:val="28"/>
                <w:szCs w:val="28"/>
              </w:rPr>
            </w:pPr>
            <w:r>
              <w:rPr>
                <w:rFonts w:hint="eastAsia" w:eastAsia="黑体"/>
                <w:sz w:val="28"/>
                <w:szCs w:val="28"/>
              </w:rPr>
              <w:t>路段</w:t>
            </w:r>
          </w:p>
        </w:tc>
        <w:tc>
          <w:tcPr>
            <w:tcW w:w="3165" w:type="dxa"/>
            <w:vAlign w:val="center"/>
          </w:tcPr>
          <w:p>
            <w:pPr>
              <w:widowControl/>
              <w:jc w:val="center"/>
              <w:rPr>
                <w:rFonts w:eastAsia="黑体"/>
                <w:sz w:val="28"/>
                <w:szCs w:val="28"/>
              </w:rPr>
            </w:pPr>
            <w:r>
              <w:rPr>
                <w:rFonts w:hint="eastAsia" w:eastAsia="黑体"/>
                <w:sz w:val="28"/>
                <w:szCs w:val="28"/>
              </w:rPr>
              <w:t>含税报价金额（元）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093" w:type="dxa"/>
            <w:vAlign w:val="center"/>
          </w:tcPr>
          <w:p>
            <w:pPr>
              <w:widowControl/>
              <w:jc w:val="center"/>
              <w:rPr>
                <w:rFonts w:eastAsia="黑体"/>
                <w:sz w:val="24"/>
              </w:rPr>
            </w:pPr>
            <w:r>
              <w:rPr>
                <w:rFonts w:hint="eastAsia" w:eastAsia="黑体"/>
                <w:sz w:val="24"/>
              </w:rPr>
              <w:t>1</w:t>
            </w:r>
          </w:p>
        </w:tc>
        <w:tc>
          <w:tcPr>
            <w:tcW w:w="4202" w:type="dxa"/>
            <w:vAlign w:val="center"/>
          </w:tcPr>
          <w:p>
            <w:pPr>
              <w:widowControl/>
              <w:jc w:val="center"/>
              <w:rPr>
                <w:rFonts w:eastAsia="黑体"/>
                <w:sz w:val="24"/>
              </w:rPr>
            </w:pPr>
            <w:r>
              <w:rPr>
                <w:rFonts w:hint="eastAsia" w:eastAsia="黑体"/>
                <w:sz w:val="24"/>
              </w:rPr>
              <w:t>成渝高速</w:t>
            </w:r>
          </w:p>
        </w:tc>
        <w:tc>
          <w:tcPr>
            <w:tcW w:w="3165" w:type="dxa"/>
            <w:vAlign w:val="center"/>
          </w:tcPr>
          <w:p>
            <w:pPr>
              <w:widowControl/>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93" w:type="dxa"/>
            <w:vAlign w:val="center"/>
          </w:tcPr>
          <w:p>
            <w:pPr>
              <w:widowControl/>
              <w:jc w:val="center"/>
              <w:rPr>
                <w:rFonts w:eastAsia="黑体"/>
                <w:sz w:val="24"/>
              </w:rPr>
            </w:pPr>
            <w:r>
              <w:rPr>
                <w:rFonts w:hint="eastAsia" w:eastAsia="黑体"/>
                <w:sz w:val="24"/>
              </w:rPr>
              <w:t>2</w:t>
            </w:r>
          </w:p>
        </w:tc>
        <w:tc>
          <w:tcPr>
            <w:tcW w:w="4202" w:type="dxa"/>
            <w:vAlign w:val="center"/>
          </w:tcPr>
          <w:p>
            <w:pPr>
              <w:widowControl/>
              <w:jc w:val="center"/>
              <w:rPr>
                <w:rFonts w:eastAsia="黑体"/>
                <w:sz w:val="24"/>
              </w:rPr>
            </w:pPr>
            <w:r>
              <w:rPr>
                <w:rFonts w:hint="eastAsia" w:eastAsia="黑体"/>
                <w:sz w:val="24"/>
              </w:rPr>
              <w:t>遂广遂西高速</w:t>
            </w:r>
          </w:p>
        </w:tc>
        <w:tc>
          <w:tcPr>
            <w:tcW w:w="3165" w:type="dxa"/>
            <w:vAlign w:val="center"/>
          </w:tcPr>
          <w:p>
            <w:pPr>
              <w:widowControl/>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93" w:type="dxa"/>
            <w:vAlign w:val="center"/>
          </w:tcPr>
          <w:p>
            <w:pPr>
              <w:widowControl/>
              <w:jc w:val="center"/>
              <w:rPr>
                <w:rFonts w:eastAsia="黑体"/>
                <w:sz w:val="24"/>
              </w:rPr>
            </w:pPr>
            <w:r>
              <w:rPr>
                <w:rFonts w:hint="eastAsia" w:eastAsia="黑体"/>
                <w:sz w:val="24"/>
              </w:rPr>
              <w:t>3</w:t>
            </w:r>
          </w:p>
        </w:tc>
        <w:tc>
          <w:tcPr>
            <w:tcW w:w="4202" w:type="dxa"/>
            <w:vAlign w:val="center"/>
          </w:tcPr>
          <w:p>
            <w:pPr>
              <w:widowControl/>
              <w:jc w:val="center"/>
              <w:rPr>
                <w:rFonts w:eastAsia="黑体"/>
                <w:sz w:val="24"/>
              </w:rPr>
            </w:pPr>
            <w:r>
              <w:rPr>
                <w:rFonts w:hint="eastAsia" w:eastAsia="黑体"/>
                <w:sz w:val="24"/>
              </w:rPr>
              <w:t>总计</w:t>
            </w:r>
          </w:p>
        </w:tc>
        <w:tc>
          <w:tcPr>
            <w:tcW w:w="3165" w:type="dxa"/>
            <w:vAlign w:val="center"/>
          </w:tcPr>
          <w:p>
            <w:pPr>
              <w:widowControl/>
              <w:jc w:val="center"/>
              <w:rPr>
                <w:rFonts w:eastAsia="黑体"/>
                <w:sz w:val="24"/>
              </w:rPr>
            </w:pPr>
          </w:p>
        </w:tc>
      </w:tr>
    </w:tbl>
    <w:p>
      <w:pPr>
        <w:widowControl/>
        <w:jc w:val="left"/>
        <w:rPr>
          <w:color w:val="000000"/>
          <w:sz w:val="24"/>
        </w:rPr>
      </w:pPr>
    </w:p>
    <w:p>
      <w:pPr>
        <w:widowControl/>
        <w:jc w:val="left"/>
        <w:rPr>
          <w:rFonts w:eastAsia="黑体"/>
          <w:sz w:val="32"/>
          <w:szCs w:val="32"/>
        </w:rPr>
      </w:pPr>
      <w:r>
        <w:rPr>
          <w:rFonts w:hint="eastAsia"/>
          <w:color w:val="000000"/>
          <w:sz w:val="24"/>
        </w:rPr>
        <w:t>注：该费用包含但不限于比选申请人为实施和完成本项目工作所需人工、材料、机械设备、仪器使用、交通、管理、利润、保险、安全、协调、税金等所有的费用，也包括复测费用，比选人不再另行支付任何费用。</w:t>
      </w:r>
      <w:r>
        <w:rPr>
          <w:rFonts w:eastAsia="黑体"/>
          <w:sz w:val="32"/>
          <w:szCs w:val="32"/>
        </w:rPr>
        <w:br w:type="page"/>
      </w:r>
    </w:p>
    <w:p>
      <w:pPr>
        <w:spacing w:beforeLines="50" w:afterLines="50"/>
        <w:jc w:val="center"/>
        <w:rPr>
          <w:rFonts w:eastAsia="黑体"/>
          <w:sz w:val="32"/>
          <w:szCs w:val="32"/>
        </w:rPr>
      </w:pPr>
    </w:p>
    <w:p>
      <w:pPr>
        <w:pStyle w:val="6"/>
        <w:spacing w:beforeLines="50" w:afterLines="50"/>
        <w:jc w:val="center"/>
        <w:rPr>
          <w:rFonts w:ascii="Times New Roman" w:hAnsi="Times New Roman"/>
          <w:color w:val="000000"/>
        </w:rPr>
      </w:pPr>
      <w:bookmarkStart w:id="64" w:name="_Toc535"/>
      <w:r>
        <w:rPr>
          <w:rFonts w:ascii="Times New Roman" w:hAnsi="Times New Roman"/>
          <w:color w:val="000000"/>
        </w:rPr>
        <w:t>（二）比选申请人法定代表人身份证明</w:t>
      </w:r>
      <w:bookmarkEnd w:id="64"/>
    </w:p>
    <w:p>
      <w:pPr>
        <w:spacing w:line="430" w:lineRule="exact"/>
        <w:jc w:val="center"/>
        <w:rPr>
          <w:b/>
          <w:color w:val="000000"/>
          <w:sz w:val="24"/>
        </w:rPr>
      </w:pPr>
    </w:p>
    <w:p>
      <w:pPr>
        <w:spacing w:line="430" w:lineRule="exact"/>
        <w:rPr>
          <w:color w:val="000000"/>
          <w:sz w:val="24"/>
        </w:rPr>
      </w:pPr>
    </w:p>
    <w:p>
      <w:pPr>
        <w:spacing w:line="480" w:lineRule="auto"/>
        <w:rPr>
          <w:color w:val="000000"/>
          <w:sz w:val="24"/>
        </w:rPr>
      </w:pPr>
      <w:r>
        <w:rPr>
          <w:color w:val="000000"/>
          <w:sz w:val="24"/>
        </w:rPr>
        <w:t>比选申请人名称：</w:t>
      </w:r>
      <w:r>
        <w:rPr>
          <w:color w:val="000000"/>
          <w:sz w:val="24"/>
          <w:u w:val="single"/>
        </w:rPr>
        <w:t xml:space="preserve">             （全称）                 </w:t>
      </w:r>
    </w:p>
    <w:p>
      <w:pPr>
        <w:spacing w:line="480" w:lineRule="auto"/>
        <w:rPr>
          <w:rFonts w:hint="default" w:eastAsia="宋体"/>
          <w:color w:val="000000"/>
          <w:sz w:val="24"/>
          <w:u w:val="single"/>
          <w:lang w:val="en-US" w:eastAsia="zh-CN"/>
        </w:rPr>
      </w:pPr>
      <w:r>
        <w:rPr>
          <w:color w:val="000000"/>
          <w:sz w:val="24"/>
        </w:rPr>
        <w:t>姓名：</w:t>
      </w:r>
      <w:r>
        <w:rPr>
          <w:color w:val="000000"/>
          <w:sz w:val="24"/>
          <w:u w:val="single"/>
        </w:rPr>
        <w:t xml:space="preserve">          （法定代表人签字）</w:t>
      </w:r>
      <w:r>
        <w:rPr>
          <w:color w:val="000000"/>
          <w:sz w:val="24"/>
        </w:rPr>
        <w:t>性别：</w:t>
      </w:r>
      <w:r>
        <w:rPr>
          <w:rFonts w:hint="eastAsia"/>
          <w:color w:val="000000"/>
          <w:sz w:val="24"/>
          <w:u w:val="single"/>
          <w:lang w:val="en-US" w:eastAsia="zh-CN"/>
        </w:rPr>
        <w:t xml:space="preserve">    </w:t>
      </w:r>
      <w:r>
        <w:rPr>
          <w:color w:val="000000"/>
          <w:sz w:val="24"/>
        </w:rPr>
        <w:t>年龄：</w:t>
      </w:r>
      <w:r>
        <w:rPr>
          <w:rFonts w:hint="eastAsia"/>
          <w:color w:val="000000"/>
          <w:sz w:val="24"/>
          <w:u w:val="single"/>
          <w:lang w:val="en-US" w:eastAsia="zh-CN"/>
        </w:rPr>
        <w:t xml:space="preserve">   </w:t>
      </w:r>
      <w:r>
        <w:rPr>
          <w:color w:val="000000"/>
          <w:sz w:val="24"/>
        </w:rPr>
        <w:t>职务：</w:t>
      </w:r>
      <w:r>
        <w:rPr>
          <w:rFonts w:hint="eastAsia"/>
          <w:color w:val="000000"/>
          <w:sz w:val="24"/>
          <w:u w:val="single"/>
          <w:lang w:val="en-US" w:eastAsia="zh-CN"/>
        </w:rPr>
        <w:t xml:space="preserve">    </w:t>
      </w:r>
    </w:p>
    <w:p>
      <w:pPr>
        <w:spacing w:line="480" w:lineRule="auto"/>
        <w:rPr>
          <w:color w:val="000000"/>
          <w:sz w:val="24"/>
        </w:rPr>
      </w:pPr>
      <w:r>
        <w:rPr>
          <w:color w:val="000000"/>
          <w:sz w:val="24"/>
        </w:rPr>
        <w:t>系</w:t>
      </w:r>
      <w:r>
        <w:rPr>
          <w:color w:val="000000"/>
          <w:sz w:val="24"/>
          <w:u w:val="single"/>
        </w:rPr>
        <w:t>（比选申请人名称）</w:t>
      </w:r>
      <w:r>
        <w:rPr>
          <w:color w:val="000000"/>
          <w:sz w:val="24"/>
        </w:rPr>
        <w:t>的法定代表人。</w:t>
      </w:r>
    </w:p>
    <w:p>
      <w:pPr>
        <w:spacing w:line="360" w:lineRule="auto"/>
        <w:ind w:firstLine="420"/>
        <w:rPr>
          <w:color w:val="000000"/>
          <w:sz w:val="24"/>
        </w:rPr>
      </w:pPr>
      <w:r>
        <w:rPr>
          <w:color w:val="000000"/>
          <w:sz w:val="24"/>
        </w:rPr>
        <w:t>特此证明。</w:t>
      </w:r>
    </w:p>
    <w:p>
      <w:pPr>
        <w:spacing w:line="360" w:lineRule="auto"/>
        <w:ind w:firstLine="480" w:firstLineChars="200"/>
        <w:rPr>
          <w:color w:val="000000"/>
          <w:sz w:val="24"/>
        </w:rPr>
      </w:pPr>
      <w:r>
        <w:rPr>
          <w:color w:val="000000"/>
          <w:kern w:val="0"/>
          <w:sz w:val="24"/>
        </w:rPr>
        <w:t>附：法定代表人身份证影印件（彩色或黑白）。</w:t>
      </w:r>
    </w:p>
    <w:p>
      <w:pPr>
        <w:spacing w:line="430" w:lineRule="exact"/>
        <w:ind w:firstLine="480"/>
        <w:rPr>
          <w:color w:val="000000"/>
          <w:szCs w:val="21"/>
        </w:rPr>
      </w:pPr>
    </w:p>
    <w:p>
      <w:pPr>
        <w:spacing w:line="430" w:lineRule="exact"/>
        <w:ind w:firstLine="480"/>
        <w:rPr>
          <w:color w:val="000000"/>
          <w:szCs w:val="21"/>
        </w:rPr>
      </w:pPr>
    </w:p>
    <w:p>
      <w:pPr>
        <w:spacing w:line="430" w:lineRule="exact"/>
        <w:ind w:firstLine="480"/>
        <w:rPr>
          <w:color w:val="000000"/>
          <w:szCs w:val="21"/>
        </w:rPr>
      </w:pPr>
    </w:p>
    <w:p>
      <w:pPr>
        <w:spacing w:line="430" w:lineRule="exact"/>
        <w:ind w:firstLine="480"/>
        <w:rPr>
          <w:color w:val="000000"/>
          <w:szCs w:val="21"/>
        </w:rPr>
      </w:pPr>
    </w:p>
    <w:p>
      <w:pPr>
        <w:spacing w:line="430" w:lineRule="exact"/>
        <w:ind w:firstLine="480"/>
        <w:rPr>
          <w:b/>
          <w:color w:val="000000"/>
          <w:sz w:val="24"/>
          <w:szCs w:val="21"/>
        </w:rPr>
      </w:pPr>
    </w:p>
    <w:p>
      <w:pPr>
        <w:spacing w:line="430" w:lineRule="exact"/>
        <w:ind w:firstLine="4096" w:firstLineChars="1700"/>
        <w:rPr>
          <w:b/>
          <w:color w:val="000000"/>
          <w:sz w:val="24"/>
          <w:szCs w:val="21"/>
        </w:rPr>
      </w:pPr>
      <w:r>
        <w:rPr>
          <w:b/>
          <w:color w:val="000000"/>
          <w:sz w:val="24"/>
          <w:szCs w:val="21"/>
        </w:rPr>
        <w:t>比选申请人：</w:t>
      </w:r>
      <w:r>
        <w:rPr>
          <w:b/>
          <w:color w:val="000000"/>
          <w:sz w:val="24"/>
          <w:szCs w:val="21"/>
          <w:u w:val="single"/>
        </w:rPr>
        <w:t xml:space="preserve">   （全称）  （盖单位章） </w:t>
      </w:r>
    </w:p>
    <w:p>
      <w:pPr>
        <w:spacing w:line="430" w:lineRule="exact"/>
        <w:ind w:firstLine="4096" w:firstLineChars="1700"/>
        <w:rPr>
          <w:b/>
          <w:color w:val="000000"/>
          <w:sz w:val="24"/>
          <w:szCs w:val="21"/>
        </w:rPr>
      </w:pPr>
      <w:r>
        <w:rPr>
          <w:b/>
          <w:color w:val="000000"/>
          <w:sz w:val="24"/>
          <w:szCs w:val="21"/>
        </w:rPr>
        <w:t>日  期：</w:t>
      </w:r>
      <w:r>
        <w:rPr>
          <w:rFonts w:hint="eastAsia"/>
          <w:b/>
          <w:color w:val="000000"/>
          <w:sz w:val="24"/>
          <w:szCs w:val="21"/>
          <w:lang w:val="en-US" w:eastAsia="zh-CN"/>
        </w:rPr>
        <w:t xml:space="preserve">   </w:t>
      </w:r>
      <w:r>
        <w:rPr>
          <w:b/>
          <w:color w:val="000000"/>
          <w:sz w:val="24"/>
          <w:szCs w:val="21"/>
        </w:rPr>
        <w:t>年月日</w:t>
      </w:r>
    </w:p>
    <w:p>
      <w:pPr>
        <w:spacing w:line="430" w:lineRule="exact"/>
        <w:rPr>
          <w:color w:val="000000"/>
          <w:sz w:val="24"/>
          <w:szCs w:val="21"/>
        </w:rPr>
      </w:pPr>
    </w:p>
    <w:p>
      <w:pPr>
        <w:spacing w:line="430" w:lineRule="exact"/>
        <w:rPr>
          <w:color w:val="000000"/>
          <w:sz w:val="24"/>
          <w:szCs w:val="21"/>
        </w:rPr>
      </w:pPr>
    </w:p>
    <w:p>
      <w:pPr>
        <w:spacing w:line="360" w:lineRule="auto"/>
        <w:ind w:firstLine="361" w:firstLineChars="150"/>
        <w:jc w:val="left"/>
        <w:rPr>
          <w:b/>
          <w:bCs/>
          <w:color w:val="000000"/>
          <w:sz w:val="24"/>
          <w:szCs w:val="21"/>
        </w:rPr>
      </w:pPr>
      <w:r>
        <w:rPr>
          <w:b/>
          <w:bCs/>
          <w:color w:val="000000"/>
          <w:sz w:val="24"/>
          <w:szCs w:val="21"/>
        </w:rPr>
        <w:t>注：</w:t>
      </w:r>
    </w:p>
    <w:p>
      <w:pPr>
        <w:spacing w:line="360" w:lineRule="auto"/>
        <w:ind w:firstLine="411" w:firstLineChars="196"/>
        <w:jc w:val="left"/>
        <w:rPr>
          <w:color w:val="000000"/>
          <w:szCs w:val="21"/>
        </w:rPr>
      </w:pPr>
      <w:r>
        <w:rPr>
          <w:color w:val="000000"/>
          <w:szCs w:val="21"/>
        </w:rPr>
        <w:t>1．法定代表人的签字必须是亲笔签名，不得使用印章、签名章或其他电子制版签名。</w:t>
      </w:r>
    </w:p>
    <w:p>
      <w:pPr>
        <w:ind w:firstLine="411" w:firstLineChars="196"/>
        <w:jc w:val="left"/>
        <w:rPr>
          <w:color w:val="000000"/>
          <w:szCs w:val="21"/>
        </w:rPr>
      </w:pPr>
      <w:r>
        <w:rPr>
          <w:color w:val="000000"/>
          <w:szCs w:val="21"/>
        </w:rPr>
        <w:t>2．如果由法定代表人签署比选申请文件，仅提供本证明即可，但须附法定代表人身份证的影印件（彩色或黑白）。</w:t>
      </w:r>
    </w:p>
    <w:p>
      <w:pPr>
        <w:rPr>
          <w:szCs w:val="21"/>
        </w:rPr>
      </w:pPr>
      <w:r>
        <w:rPr>
          <w:szCs w:val="21"/>
        </w:rPr>
        <w:br w:type="page"/>
      </w:r>
    </w:p>
    <w:p>
      <w:pPr>
        <w:pStyle w:val="6"/>
        <w:spacing w:line="430" w:lineRule="exact"/>
        <w:jc w:val="center"/>
        <w:rPr>
          <w:rFonts w:ascii="Times New Roman" w:hAnsi="Times New Roman"/>
          <w:color w:val="000000"/>
          <w:sz w:val="21"/>
          <w:szCs w:val="21"/>
        </w:rPr>
      </w:pPr>
      <w:bookmarkStart w:id="65" w:name="_Toc12177"/>
      <w:r>
        <w:rPr>
          <w:rFonts w:ascii="Times New Roman" w:hAnsi="Times New Roman"/>
          <w:color w:val="000000"/>
        </w:rPr>
        <w:t>（三）授权委托书(如有)</w:t>
      </w:r>
      <w:bookmarkEnd w:id="65"/>
    </w:p>
    <w:p>
      <w:pPr>
        <w:spacing w:line="360" w:lineRule="auto"/>
        <w:ind w:firstLine="420"/>
        <w:rPr>
          <w:color w:val="000000"/>
          <w:sz w:val="24"/>
        </w:rPr>
      </w:pPr>
      <w:r>
        <w:rPr>
          <w:color w:val="000000"/>
          <w:sz w:val="24"/>
        </w:rPr>
        <w:t>本人</w:t>
      </w:r>
      <w:r>
        <w:rPr>
          <w:color w:val="000000"/>
          <w:sz w:val="24"/>
          <w:u w:val="single"/>
        </w:rPr>
        <w:t>（姓名）</w:t>
      </w:r>
      <w:r>
        <w:rPr>
          <w:color w:val="000000"/>
          <w:sz w:val="24"/>
        </w:rPr>
        <w:t>系</w:t>
      </w:r>
      <w:r>
        <w:rPr>
          <w:color w:val="000000"/>
          <w:sz w:val="24"/>
          <w:u w:val="single"/>
        </w:rPr>
        <w:t>（比选申请人名称）</w:t>
      </w:r>
      <w:r>
        <w:rPr>
          <w:color w:val="000000"/>
          <w:sz w:val="24"/>
        </w:rPr>
        <w:t>的法定代表人，现委托</w:t>
      </w:r>
      <w:r>
        <w:rPr>
          <w:color w:val="000000"/>
          <w:sz w:val="24"/>
          <w:u w:val="single"/>
        </w:rPr>
        <w:t>（姓名）</w:t>
      </w:r>
      <w:r>
        <w:rPr>
          <w:color w:val="000000"/>
          <w:sz w:val="24"/>
        </w:rPr>
        <w:t>为我方代理人。代理人根据授权，以我方名义签署、澄清、确认说明、递交、撤回、修改我方所递交的</w:t>
      </w:r>
      <w:r>
        <w:rPr>
          <w:rFonts w:hint="eastAsia"/>
          <w:color w:val="000000"/>
          <w:sz w:val="24"/>
          <w:u w:val="single"/>
          <w:lang w:val="en-US" w:eastAsia="zh-CN"/>
        </w:rPr>
        <w:t xml:space="preserve">     </w:t>
      </w:r>
      <w:r>
        <w:rPr>
          <w:color w:val="000000"/>
          <w:sz w:val="24"/>
        </w:rPr>
        <w:t>项目比选申请文件、签订合同和处理有关事宜，其法律后果由我方承担。</w:t>
      </w:r>
    </w:p>
    <w:p>
      <w:pPr>
        <w:spacing w:line="360" w:lineRule="auto"/>
        <w:ind w:firstLine="420"/>
        <w:rPr>
          <w:color w:val="000000"/>
          <w:sz w:val="24"/>
        </w:rPr>
      </w:pPr>
      <w:r>
        <w:rPr>
          <w:color w:val="000000"/>
          <w:sz w:val="24"/>
        </w:rPr>
        <w:t>委托期限：</w:t>
      </w:r>
      <w:r>
        <w:rPr>
          <w:color w:val="000000"/>
          <w:sz w:val="24"/>
          <w:u w:val="single"/>
        </w:rPr>
        <w:t>本项目比选有效期内</w:t>
      </w:r>
      <w:r>
        <w:rPr>
          <w:color w:val="000000"/>
          <w:sz w:val="24"/>
        </w:rPr>
        <w:t>。</w:t>
      </w:r>
    </w:p>
    <w:p>
      <w:pPr>
        <w:tabs>
          <w:tab w:val="left" w:pos="3855"/>
        </w:tabs>
        <w:spacing w:line="360" w:lineRule="auto"/>
        <w:ind w:firstLine="420"/>
        <w:rPr>
          <w:color w:val="000000"/>
          <w:sz w:val="24"/>
        </w:rPr>
      </w:pPr>
      <w:r>
        <w:rPr>
          <w:color w:val="000000"/>
          <w:sz w:val="24"/>
        </w:rPr>
        <w:t>代理人无转委托权。</w:t>
      </w:r>
    </w:p>
    <w:p>
      <w:pPr>
        <w:spacing w:line="360" w:lineRule="auto"/>
        <w:ind w:firstLine="420"/>
        <w:rPr>
          <w:color w:val="000000"/>
          <w:sz w:val="24"/>
        </w:rPr>
      </w:pPr>
      <w:r>
        <w:rPr>
          <w:color w:val="000000"/>
          <w:sz w:val="24"/>
        </w:rPr>
        <w:t xml:space="preserve">附：（1）法定代表人身份证复印件 </w:t>
      </w:r>
    </w:p>
    <w:p>
      <w:pPr>
        <w:spacing w:line="360" w:lineRule="auto"/>
        <w:ind w:firstLine="840" w:firstLineChars="350"/>
        <w:rPr>
          <w:color w:val="000000"/>
          <w:sz w:val="24"/>
        </w:rPr>
      </w:pPr>
      <w:r>
        <w:rPr>
          <w:color w:val="000000"/>
          <w:sz w:val="24"/>
        </w:rPr>
        <w:t>（2）委托代理人身份证复印件。</w:t>
      </w:r>
    </w:p>
    <w:p>
      <w:pPr>
        <w:spacing w:line="360" w:lineRule="auto"/>
        <w:rPr>
          <w:color w:val="000000"/>
          <w:szCs w:val="21"/>
        </w:rPr>
      </w:pPr>
    </w:p>
    <w:p>
      <w:pPr>
        <w:spacing w:line="360" w:lineRule="auto"/>
        <w:rPr>
          <w:b/>
          <w:color w:val="000000"/>
          <w:sz w:val="24"/>
        </w:rPr>
      </w:pPr>
      <w:r>
        <w:rPr>
          <w:b/>
          <w:color w:val="000000"/>
          <w:sz w:val="24"/>
        </w:rPr>
        <w:t>比选申请人：（盖单位章）</w:t>
      </w:r>
    </w:p>
    <w:p>
      <w:pPr>
        <w:spacing w:line="360" w:lineRule="auto"/>
        <w:rPr>
          <w:b/>
          <w:color w:val="000000"/>
          <w:sz w:val="24"/>
        </w:rPr>
      </w:pPr>
      <w:r>
        <w:rPr>
          <w:b/>
          <w:color w:val="000000"/>
          <w:sz w:val="24"/>
        </w:rPr>
        <w:t>法定代表人：（签字）</w:t>
      </w:r>
    </w:p>
    <w:p>
      <w:pPr>
        <w:spacing w:line="360" w:lineRule="auto"/>
        <w:rPr>
          <w:color w:val="000000"/>
          <w:sz w:val="24"/>
        </w:rPr>
      </w:pPr>
      <w:r>
        <w:rPr>
          <w:color w:val="000000"/>
          <w:sz w:val="24"/>
        </w:rPr>
        <w:t>身份证号码：</w:t>
      </w:r>
    </w:p>
    <w:p>
      <w:pPr>
        <w:spacing w:line="360" w:lineRule="auto"/>
        <w:rPr>
          <w:b/>
          <w:color w:val="000000"/>
          <w:sz w:val="24"/>
        </w:rPr>
      </w:pPr>
      <w:r>
        <w:rPr>
          <w:b/>
          <w:color w:val="000000"/>
          <w:sz w:val="24"/>
        </w:rPr>
        <w:t>委托代理人：（签字）</w:t>
      </w:r>
    </w:p>
    <w:p>
      <w:pPr>
        <w:spacing w:line="360" w:lineRule="auto"/>
        <w:rPr>
          <w:color w:val="000000"/>
          <w:sz w:val="24"/>
        </w:rPr>
      </w:pPr>
      <w:r>
        <w:rPr>
          <w:color w:val="000000"/>
          <w:sz w:val="24"/>
        </w:rPr>
        <w:t>身份证号码：</w:t>
      </w:r>
    </w:p>
    <w:p>
      <w:pPr>
        <w:spacing w:line="360" w:lineRule="auto"/>
        <w:ind w:firstLine="2100" w:firstLineChars="1000"/>
        <w:rPr>
          <w:color w:val="000000"/>
          <w:szCs w:val="21"/>
        </w:rPr>
      </w:pPr>
    </w:p>
    <w:p>
      <w:pPr>
        <w:spacing w:line="500" w:lineRule="exact"/>
        <w:rPr>
          <w:color w:val="000000"/>
          <w:szCs w:val="21"/>
        </w:rPr>
      </w:pPr>
    </w:p>
    <w:p>
      <w:pPr>
        <w:spacing w:line="500" w:lineRule="exact"/>
        <w:jc w:val="center"/>
        <w:rPr>
          <w:b/>
          <w:bCs/>
          <w:color w:val="000000"/>
          <w:sz w:val="24"/>
          <w:szCs w:val="24"/>
        </w:rPr>
      </w:pPr>
      <w:r>
        <w:rPr>
          <w:color w:val="000000"/>
          <w:szCs w:val="21"/>
        </w:rPr>
        <w:t xml:space="preserve">    </w:t>
      </w:r>
      <w:r>
        <w:rPr>
          <w:b/>
          <w:bCs/>
          <w:color w:val="000000"/>
          <w:sz w:val="24"/>
          <w:szCs w:val="24"/>
        </w:rPr>
        <w:t xml:space="preserve"> 日期：年月日</w:t>
      </w:r>
      <w:bookmarkStart w:id="70" w:name="_GoBack"/>
      <w:bookmarkEnd w:id="70"/>
    </w:p>
    <w:p>
      <w:pPr>
        <w:spacing w:line="500" w:lineRule="exact"/>
        <w:rPr>
          <w:color w:val="000000"/>
          <w:szCs w:val="21"/>
        </w:rPr>
      </w:pPr>
    </w:p>
    <w:p>
      <w:pPr>
        <w:spacing w:line="360" w:lineRule="auto"/>
        <w:ind w:firstLine="413" w:firstLineChars="196"/>
        <w:rPr>
          <w:b/>
          <w:color w:val="000000"/>
          <w:szCs w:val="21"/>
        </w:rPr>
      </w:pPr>
      <w:r>
        <w:rPr>
          <w:b/>
          <w:color w:val="000000"/>
          <w:szCs w:val="21"/>
        </w:rPr>
        <w:t>注：</w:t>
      </w:r>
    </w:p>
    <w:p>
      <w:pPr>
        <w:spacing w:line="360" w:lineRule="auto"/>
        <w:ind w:firstLine="411" w:firstLineChars="196"/>
        <w:rPr>
          <w:color w:val="000000"/>
          <w:szCs w:val="21"/>
        </w:rPr>
      </w:pPr>
      <w:r>
        <w:rPr>
          <w:color w:val="000000"/>
          <w:szCs w:val="21"/>
        </w:rPr>
        <w:t>1．法定代表人和委托代理人必须在授权书上亲笔签名，不得使用印章、签名章或其他电子制版签名代替；</w:t>
      </w:r>
    </w:p>
    <w:p>
      <w:pPr>
        <w:pStyle w:val="14"/>
        <w:spacing w:line="360" w:lineRule="auto"/>
        <w:ind w:firstLine="409" w:firstLineChars="195"/>
        <w:rPr>
          <w:rFonts w:ascii="Times New Roman" w:hAnsi="Times New Roman"/>
          <w:color w:val="000000"/>
          <w:szCs w:val="21"/>
        </w:rPr>
      </w:pPr>
      <w:r>
        <w:rPr>
          <w:rFonts w:ascii="Times New Roman" w:hAnsi="Times New Roman"/>
          <w:color w:val="000000"/>
          <w:szCs w:val="21"/>
        </w:rPr>
        <w:t>2．委托代理人只能是一个人且不能再授予他人，否则比选人将认为其授权无效</w:t>
      </w:r>
      <w:r>
        <w:rPr>
          <w:rFonts w:hint="eastAsia" w:ascii="Times New Roman" w:hAnsi="Times New Roman"/>
          <w:color w:val="000000"/>
          <w:szCs w:val="21"/>
        </w:rPr>
        <w:t>；</w:t>
      </w:r>
    </w:p>
    <w:p>
      <w:pPr>
        <w:spacing w:line="360" w:lineRule="auto"/>
        <w:ind w:firstLine="411" w:firstLineChars="196"/>
        <w:rPr>
          <w:color w:val="000000"/>
          <w:szCs w:val="21"/>
        </w:rPr>
      </w:pPr>
      <w:r>
        <w:rPr>
          <w:color w:val="000000"/>
          <w:szCs w:val="21"/>
        </w:rPr>
        <w:t>3．授权委托书后须附法定代表人和委托代理人身份证影印件（彩色或黑白）</w:t>
      </w:r>
      <w:r>
        <w:rPr>
          <w:rFonts w:hint="eastAsia"/>
          <w:color w:val="000000"/>
          <w:szCs w:val="21"/>
        </w:rPr>
        <w:t>；</w:t>
      </w:r>
    </w:p>
    <w:p>
      <w:pPr>
        <w:spacing w:line="360" w:lineRule="auto"/>
        <w:ind w:firstLine="411" w:firstLineChars="196"/>
        <w:rPr>
          <w:color w:val="000000"/>
          <w:szCs w:val="21"/>
        </w:rPr>
      </w:pPr>
      <w:r>
        <w:rPr>
          <w:color w:val="000000"/>
          <w:szCs w:val="21"/>
        </w:rPr>
        <w:t>4．如果由委托代表人签署比选申请文件，仅提供本授权委托书即可</w:t>
      </w:r>
      <w:r>
        <w:rPr>
          <w:rFonts w:hint="eastAsia"/>
          <w:color w:val="000000"/>
          <w:szCs w:val="21"/>
        </w:rPr>
        <w:t>。</w:t>
      </w:r>
    </w:p>
    <w:p>
      <w:pPr>
        <w:pStyle w:val="14"/>
        <w:spacing w:line="360" w:lineRule="auto"/>
        <w:ind w:firstLine="420" w:firstLineChars="200"/>
        <w:rPr>
          <w:rFonts w:ascii="Times New Roman" w:hAnsi="Times New Roman"/>
          <w:szCs w:val="21"/>
        </w:rPr>
      </w:pPr>
    </w:p>
    <w:p>
      <w:pPr>
        <w:spacing w:line="440" w:lineRule="exact"/>
        <w:ind w:firstLine="4830" w:firstLineChars="2300"/>
        <w:rPr>
          <w:szCs w:val="21"/>
        </w:rPr>
      </w:pPr>
    </w:p>
    <w:p>
      <w:pPr>
        <w:pStyle w:val="6"/>
        <w:spacing w:line="360" w:lineRule="auto"/>
        <w:jc w:val="center"/>
        <w:rPr>
          <w:rFonts w:ascii="Times New Roman" w:hAnsi="Times New Roman"/>
          <w:color w:val="000000"/>
        </w:rPr>
      </w:pPr>
      <w:bookmarkStart w:id="66" w:name="_Toc6027"/>
      <w:r>
        <w:rPr>
          <w:rFonts w:ascii="Times New Roman" w:hAnsi="Times New Roman"/>
          <w:color w:val="000000"/>
        </w:rPr>
        <w:t>（四）</w:t>
      </w:r>
      <w:r>
        <w:rPr>
          <w:rFonts w:hint="eastAsia" w:ascii="Times New Roman" w:hAnsi="Times New Roman"/>
          <w:color w:val="000000"/>
        </w:rPr>
        <w:t>1.</w:t>
      </w:r>
      <w:r>
        <w:rPr>
          <w:rFonts w:ascii="Times New Roman" w:hAnsi="Times New Roman"/>
          <w:color w:val="000000"/>
        </w:rPr>
        <w:t>比选申请人基本情况表</w:t>
      </w:r>
      <w:bookmarkEnd w:id="6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984"/>
        <w:gridCol w:w="847"/>
        <w:gridCol w:w="1176"/>
        <w:gridCol w:w="1381"/>
        <w:gridCol w:w="56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比选申请人名称</w:t>
            </w:r>
          </w:p>
        </w:tc>
        <w:tc>
          <w:tcPr>
            <w:tcW w:w="6773" w:type="dxa"/>
            <w:gridSpan w:val="6"/>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注册地址</w:t>
            </w:r>
          </w:p>
        </w:tc>
        <w:tc>
          <w:tcPr>
            <w:tcW w:w="3007" w:type="dxa"/>
            <w:gridSpan w:val="3"/>
            <w:noWrap/>
            <w:vAlign w:val="center"/>
          </w:tcPr>
          <w:p>
            <w:pPr>
              <w:pStyle w:val="14"/>
              <w:wordWrap w:val="0"/>
              <w:jc w:val="center"/>
              <w:rPr>
                <w:rFonts w:ascii="Times New Roman" w:hAnsi="Times New Roman" w:eastAsia="黑体"/>
                <w:szCs w:val="21"/>
              </w:rPr>
            </w:pPr>
          </w:p>
        </w:tc>
        <w:tc>
          <w:tcPr>
            <w:tcW w:w="1381"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邮政编码</w:t>
            </w:r>
          </w:p>
        </w:tc>
        <w:tc>
          <w:tcPr>
            <w:tcW w:w="2385" w:type="dxa"/>
            <w:gridSpan w:val="2"/>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vMerge w:val="restart"/>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联系方式</w:t>
            </w:r>
          </w:p>
        </w:tc>
        <w:tc>
          <w:tcPr>
            <w:tcW w:w="984"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联系人</w:t>
            </w:r>
          </w:p>
        </w:tc>
        <w:tc>
          <w:tcPr>
            <w:tcW w:w="2023" w:type="dxa"/>
            <w:gridSpan w:val="2"/>
            <w:noWrap/>
            <w:vAlign w:val="center"/>
          </w:tcPr>
          <w:p>
            <w:pPr>
              <w:pStyle w:val="14"/>
              <w:wordWrap w:val="0"/>
              <w:jc w:val="center"/>
              <w:rPr>
                <w:rFonts w:ascii="Times New Roman" w:hAnsi="Times New Roman" w:eastAsia="黑体"/>
                <w:szCs w:val="21"/>
              </w:rPr>
            </w:pPr>
          </w:p>
        </w:tc>
        <w:tc>
          <w:tcPr>
            <w:tcW w:w="1381"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电  话</w:t>
            </w:r>
          </w:p>
        </w:tc>
        <w:tc>
          <w:tcPr>
            <w:tcW w:w="2385" w:type="dxa"/>
            <w:gridSpan w:val="2"/>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vMerge w:val="continue"/>
            <w:noWrap/>
            <w:vAlign w:val="center"/>
          </w:tcPr>
          <w:p>
            <w:pPr>
              <w:pStyle w:val="14"/>
              <w:wordWrap w:val="0"/>
              <w:jc w:val="center"/>
              <w:rPr>
                <w:rFonts w:ascii="Times New Roman" w:hAnsi="Times New Roman" w:eastAsia="黑体"/>
                <w:szCs w:val="21"/>
              </w:rPr>
            </w:pPr>
          </w:p>
        </w:tc>
        <w:tc>
          <w:tcPr>
            <w:tcW w:w="984"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传  真</w:t>
            </w:r>
          </w:p>
        </w:tc>
        <w:tc>
          <w:tcPr>
            <w:tcW w:w="2023" w:type="dxa"/>
            <w:gridSpan w:val="2"/>
            <w:noWrap/>
            <w:vAlign w:val="center"/>
          </w:tcPr>
          <w:p>
            <w:pPr>
              <w:pStyle w:val="14"/>
              <w:wordWrap w:val="0"/>
              <w:jc w:val="center"/>
              <w:rPr>
                <w:rFonts w:ascii="Times New Roman" w:hAnsi="Times New Roman" w:eastAsia="黑体"/>
                <w:szCs w:val="21"/>
              </w:rPr>
            </w:pPr>
          </w:p>
        </w:tc>
        <w:tc>
          <w:tcPr>
            <w:tcW w:w="1381"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网  址</w:t>
            </w:r>
          </w:p>
        </w:tc>
        <w:tc>
          <w:tcPr>
            <w:tcW w:w="2385" w:type="dxa"/>
            <w:gridSpan w:val="2"/>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法定代表人</w:t>
            </w:r>
          </w:p>
        </w:tc>
        <w:tc>
          <w:tcPr>
            <w:tcW w:w="984"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姓  名</w:t>
            </w:r>
          </w:p>
        </w:tc>
        <w:tc>
          <w:tcPr>
            <w:tcW w:w="2023" w:type="dxa"/>
            <w:gridSpan w:val="2"/>
            <w:noWrap/>
            <w:vAlign w:val="center"/>
          </w:tcPr>
          <w:p>
            <w:pPr>
              <w:pStyle w:val="14"/>
              <w:wordWrap w:val="0"/>
              <w:jc w:val="center"/>
              <w:rPr>
                <w:rFonts w:ascii="Times New Roman" w:hAnsi="Times New Roman" w:eastAsia="黑体"/>
                <w:szCs w:val="21"/>
              </w:rPr>
            </w:pPr>
          </w:p>
        </w:tc>
        <w:tc>
          <w:tcPr>
            <w:tcW w:w="1381"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技术职称</w:t>
            </w:r>
          </w:p>
        </w:tc>
        <w:tc>
          <w:tcPr>
            <w:tcW w:w="2385" w:type="dxa"/>
            <w:gridSpan w:val="2"/>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成立时间</w:t>
            </w:r>
          </w:p>
        </w:tc>
        <w:tc>
          <w:tcPr>
            <w:tcW w:w="1831" w:type="dxa"/>
            <w:gridSpan w:val="2"/>
            <w:noWrap/>
            <w:vAlign w:val="center"/>
          </w:tcPr>
          <w:p>
            <w:pPr>
              <w:pStyle w:val="14"/>
              <w:wordWrap w:val="0"/>
              <w:jc w:val="center"/>
              <w:rPr>
                <w:rFonts w:ascii="Times New Roman" w:hAnsi="Times New Roman" w:eastAsia="黑体"/>
                <w:szCs w:val="21"/>
              </w:rPr>
            </w:pPr>
          </w:p>
        </w:tc>
        <w:tc>
          <w:tcPr>
            <w:tcW w:w="3117" w:type="dxa"/>
            <w:gridSpan w:val="3"/>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员工总人数</w:t>
            </w:r>
          </w:p>
        </w:tc>
        <w:tc>
          <w:tcPr>
            <w:tcW w:w="1825" w:type="dxa"/>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营业执照号</w:t>
            </w:r>
          </w:p>
        </w:tc>
        <w:tc>
          <w:tcPr>
            <w:tcW w:w="6773" w:type="dxa"/>
            <w:gridSpan w:val="6"/>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注册资金</w:t>
            </w:r>
          </w:p>
        </w:tc>
        <w:tc>
          <w:tcPr>
            <w:tcW w:w="6773" w:type="dxa"/>
            <w:gridSpan w:val="6"/>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基本账户开户银行</w:t>
            </w:r>
          </w:p>
        </w:tc>
        <w:tc>
          <w:tcPr>
            <w:tcW w:w="6773" w:type="dxa"/>
            <w:gridSpan w:val="6"/>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基本账户账号</w:t>
            </w:r>
          </w:p>
        </w:tc>
        <w:tc>
          <w:tcPr>
            <w:tcW w:w="6773" w:type="dxa"/>
            <w:gridSpan w:val="6"/>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经营范围</w:t>
            </w:r>
          </w:p>
        </w:tc>
        <w:tc>
          <w:tcPr>
            <w:tcW w:w="6773" w:type="dxa"/>
            <w:gridSpan w:val="6"/>
            <w:noWrap/>
            <w:vAlign w:val="center"/>
          </w:tcPr>
          <w:p>
            <w:pPr>
              <w:pStyle w:val="14"/>
              <w:wordWrap w:val="0"/>
              <w:jc w:val="center"/>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1926" w:type="dxa"/>
            <w:noWrap/>
            <w:vAlign w:val="center"/>
          </w:tcPr>
          <w:p>
            <w:pPr>
              <w:pStyle w:val="14"/>
              <w:wordWrap w:val="0"/>
              <w:jc w:val="center"/>
              <w:rPr>
                <w:rFonts w:ascii="Times New Roman" w:hAnsi="Times New Roman" w:eastAsia="黑体"/>
                <w:szCs w:val="21"/>
              </w:rPr>
            </w:pPr>
            <w:r>
              <w:rPr>
                <w:rFonts w:hint="eastAsia" w:ascii="Times New Roman" w:hAnsi="Times New Roman" w:eastAsia="黑体"/>
                <w:szCs w:val="21"/>
              </w:rPr>
              <w:t>比选申请人关联企业情况</w:t>
            </w:r>
          </w:p>
        </w:tc>
        <w:tc>
          <w:tcPr>
            <w:tcW w:w="6773" w:type="dxa"/>
            <w:gridSpan w:val="6"/>
            <w:noWrap/>
            <w:vAlign w:val="center"/>
          </w:tcPr>
          <w:p>
            <w:pPr>
              <w:pStyle w:val="14"/>
              <w:wordWrap w:val="0"/>
              <w:jc w:val="left"/>
              <w:rPr>
                <w:rFonts w:ascii="Times New Roman" w:hAnsi="Times New Roman" w:eastAsia="黑体"/>
                <w:i w:val="0"/>
                <w:iCs w:val="0"/>
                <w:szCs w:val="21"/>
                <w:u w:val="single"/>
              </w:rPr>
            </w:pPr>
            <w:r>
              <w:rPr>
                <w:rFonts w:hint="eastAsia" w:ascii="Times New Roman" w:hAnsi="Times New Roman" w:eastAsia="黑体"/>
                <w:i w:val="0"/>
                <w:iCs w:val="0"/>
                <w:szCs w:val="21"/>
                <w:u w:val="single"/>
              </w:rPr>
              <w:t>比选申请人应提供关联企业情况，包括：</w:t>
            </w:r>
          </w:p>
          <w:p>
            <w:pPr>
              <w:pStyle w:val="14"/>
              <w:wordWrap w:val="0"/>
              <w:jc w:val="left"/>
              <w:rPr>
                <w:rFonts w:ascii="Times New Roman" w:hAnsi="Times New Roman" w:eastAsia="黑体"/>
                <w:i w:val="0"/>
                <w:iCs w:val="0"/>
                <w:szCs w:val="21"/>
                <w:u w:val="single"/>
              </w:rPr>
            </w:pPr>
            <w:r>
              <w:rPr>
                <w:rFonts w:hint="eastAsia" w:ascii="Times New Roman" w:hAnsi="Times New Roman" w:eastAsia="黑体"/>
                <w:i w:val="0"/>
                <w:iCs w:val="0"/>
                <w:szCs w:val="21"/>
                <w:u w:val="single"/>
              </w:rPr>
              <w:t>（1）比选申请人的所有股东名称及相应股权（出资额）比例：如比选申请人为上市公司，比选申请人应提供股权占公司股份总数 50 %以上的所有股东名称及相应股权比例 ；</w:t>
            </w:r>
          </w:p>
          <w:p>
            <w:pPr>
              <w:pStyle w:val="14"/>
              <w:wordWrap w:val="0"/>
              <w:jc w:val="left"/>
              <w:rPr>
                <w:rFonts w:ascii="Times New Roman" w:hAnsi="Times New Roman" w:eastAsia="黑体"/>
                <w:i w:val="0"/>
                <w:iCs w:val="0"/>
                <w:szCs w:val="21"/>
                <w:u w:val="single"/>
              </w:rPr>
            </w:pPr>
            <w:r>
              <w:rPr>
                <w:rFonts w:hint="eastAsia" w:ascii="Times New Roman" w:hAnsi="Times New Roman" w:eastAsia="黑体"/>
                <w:i w:val="0"/>
                <w:iCs w:val="0"/>
                <w:szCs w:val="21"/>
                <w:u w:val="single"/>
              </w:rPr>
              <w:t>（2）比选申请人投资（控股）或管理的下属企业名称、持有股权（出资额）比例；</w:t>
            </w:r>
          </w:p>
          <w:p>
            <w:pPr>
              <w:pStyle w:val="14"/>
              <w:wordWrap w:val="0"/>
              <w:jc w:val="left"/>
              <w:rPr>
                <w:rFonts w:ascii="Times New Roman" w:hAnsi="Times New Roman" w:eastAsia="黑体"/>
                <w:szCs w:val="21"/>
              </w:rPr>
            </w:pPr>
            <w:r>
              <w:rPr>
                <w:rFonts w:hint="eastAsia" w:ascii="Times New Roman" w:hAnsi="Times New Roman" w:eastAsia="黑体"/>
                <w:i w:val="0"/>
                <w:iCs w:val="0"/>
                <w:szCs w:val="21"/>
                <w:u w:val="single"/>
              </w:rPr>
              <w:t>（3）与比选申请人单位负责人（即法定代表人）为同一人的其他单位名称。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26" w:type="dxa"/>
            <w:noWrap/>
            <w:vAlign w:val="center"/>
          </w:tcPr>
          <w:p>
            <w:pPr>
              <w:pStyle w:val="14"/>
              <w:wordWrap w:val="0"/>
              <w:jc w:val="center"/>
              <w:rPr>
                <w:rFonts w:ascii="Times New Roman" w:hAnsi="Times New Roman" w:eastAsia="黑体"/>
                <w:szCs w:val="21"/>
              </w:rPr>
            </w:pPr>
            <w:r>
              <w:rPr>
                <w:rFonts w:ascii="Times New Roman" w:hAnsi="Times New Roman" w:eastAsia="黑体"/>
                <w:szCs w:val="21"/>
              </w:rPr>
              <w:t>备    注</w:t>
            </w:r>
          </w:p>
        </w:tc>
        <w:tc>
          <w:tcPr>
            <w:tcW w:w="6773" w:type="dxa"/>
            <w:gridSpan w:val="6"/>
            <w:noWrap/>
            <w:vAlign w:val="center"/>
          </w:tcPr>
          <w:p>
            <w:pPr>
              <w:pStyle w:val="14"/>
              <w:wordWrap w:val="0"/>
              <w:jc w:val="center"/>
              <w:rPr>
                <w:rFonts w:ascii="Times New Roman" w:hAnsi="Times New Roman" w:eastAsia="黑体"/>
                <w:szCs w:val="21"/>
              </w:rPr>
            </w:pPr>
          </w:p>
        </w:tc>
      </w:tr>
    </w:tbl>
    <w:p>
      <w:pPr>
        <w:pStyle w:val="2"/>
        <w:ind w:firstLine="480"/>
        <w:rPr>
          <w:rFonts w:ascii="Times New Roman" w:hAnsi="Times New Roman"/>
          <w:sz w:val="24"/>
          <w:szCs w:val="24"/>
        </w:rPr>
      </w:pPr>
      <w:r>
        <w:rPr>
          <w:rFonts w:ascii="Times New Roman" w:hAnsi="Times New Roman"/>
          <w:sz w:val="24"/>
          <w:szCs w:val="24"/>
        </w:rPr>
        <w:t>注：本页后应附比选申请人企业法人</w:t>
      </w:r>
      <w:r>
        <w:rPr>
          <w:rFonts w:ascii="Times New Roman" w:hAnsi="Times New Roman"/>
          <w:b/>
          <w:bCs/>
          <w:color w:val="FF0000"/>
          <w:sz w:val="24"/>
          <w:szCs w:val="24"/>
          <w:u w:val="single"/>
        </w:rPr>
        <w:t>营业执照副本</w:t>
      </w:r>
      <w:r>
        <w:rPr>
          <w:rFonts w:hint="eastAsia" w:ascii="Times New Roman" w:hAnsi="Times New Roman"/>
          <w:b/>
          <w:bCs/>
          <w:color w:val="FF0000"/>
          <w:sz w:val="24"/>
          <w:szCs w:val="24"/>
        </w:rPr>
        <w:t>、</w:t>
      </w:r>
      <w:r>
        <w:rPr>
          <w:rFonts w:ascii="Times New Roman" w:hAnsi="Times New Roman"/>
          <w:b/>
          <w:bCs/>
          <w:color w:val="FF0000"/>
          <w:sz w:val="24"/>
          <w:szCs w:val="24"/>
          <w:u w:val="single"/>
        </w:rPr>
        <w:t>资质证书</w:t>
      </w:r>
      <w:r>
        <w:rPr>
          <w:rFonts w:ascii="Times New Roman" w:hAnsi="Times New Roman"/>
          <w:color w:val="FF0000"/>
          <w:sz w:val="24"/>
          <w:szCs w:val="24"/>
        </w:rPr>
        <w:t>、</w:t>
      </w:r>
      <w:r>
        <w:rPr>
          <w:rFonts w:ascii="Times New Roman" w:hAnsi="Times New Roman"/>
          <w:b/>
          <w:bCs/>
          <w:color w:val="FF0000"/>
          <w:sz w:val="24"/>
          <w:szCs w:val="24"/>
          <w:u w:val="single"/>
        </w:rPr>
        <w:t>基本账户开户许可证（基本账户开户行出具）或基本存款账户信息表</w:t>
      </w:r>
      <w:r>
        <w:rPr>
          <w:rFonts w:hint="eastAsia" w:ascii="Times New Roman" w:hAnsi="Times New Roman"/>
          <w:b w:val="0"/>
          <w:bCs w:val="0"/>
          <w:color w:val="auto"/>
          <w:sz w:val="24"/>
          <w:szCs w:val="24"/>
          <w:u w:val="none"/>
          <w:lang w:val="en-US" w:eastAsia="zh-CN"/>
        </w:rPr>
        <w:t>等资料</w:t>
      </w:r>
      <w:r>
        <w:rPr>
          <w:rFonts w:ascii="Times New Roman" w:hAnsi="Times New Roman"/>
          <w:sz w:val="24"/>
          <w:szCs w:val="24"/>
        </w:rPr>
        <w:t>（复印件或影印件）。</w:t>
      </w:r>
    </w:p>
    <w:p>
      <w:pPr>
        <w:pStyle w:val="11"/>
        <w:spacing w:before="29" w:line="306" w:lineRule="auto"/>
        <w:ind w:firstLine="480" w:firstLineChars="200"/>
        <w:rPr>
          <w:spacing w:val="-3"/>
          <w:szCs w:val="21"/>
        </w:rPr>
      </w:pPr>
      <w:r>
        <w:rPr>
          <w:rFonts w:eastAsia="仿宋_GB2312"/>
          <w:sz w:val="24"/>
        </w:rPr>
        <w:br w:type="page"/>
      </w:r>
    </w:p>
    <w:p>
      <w:pPr>
        <w:widowControl/>
        <w:jc w:val="center"/>
        <w:rPr>
          <w:b/>
          <w:bCs/>
          <w:szCs w:val="28"/>
        </w:rPr>
      </w:pPr>
      <w:r>
        <w:rPr>
          <w:rFonts w:hint="eastAsia" w:eastAsia="黑体"/>
          <w:b/>
          <w:bCs/>
          <w:color w:val="000000"/>
          <w:sz w:val="32"/>
          <w:szCs w:val="32"/>
        </w:rPr>
        <w:t>2.</w:t>
      </w:r>
      <w:r>
        <w:rPr>
          <w:rFonts w:eastAsia="黑体"/>
          <w:b/>
          <w:bCs/>
          <w:color w:val="000000"/>
          <w:sz w:val="32"/>
          <w:szCs w:val="32"/>
        </w:rPr>
        <w:t>拟委任的项目负责人员资历表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603"/>
        <w:gridCol w:w="1511"/>
        <w:gridCol w:w="533"/>
        <w:gridCol w:w="768"/>
        <w:gridCol w:w="1634"/>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55" w:type="dxa"/>
            <w:noWrap/>
            <w:vAlign w:val="center"/>
          </w:tcPr>
          <w:p>
            <w:pPr>
              <w:spacing w:line="360" w:lineRule="auto"/>
              <w:jc w:val="center"/>
              <w:rPr>
                <w:rFonts w:eastAsia="黑体"/>
                <w:color w:val="000000"/>
                <w:szCs w:val="21"/>
              </w:rPr>
            </w:pPr>
            <w:r>
              <w:rPr>
                <w:rFonts w:eastAsia="黑体"/>
                <w:color w:val="000000"/>
                <w:szCs w:val="21"/>
              </w:rPr>
              <w:t>姓名</w:t>
            </w:r>
          </w:p>
        </w:tc>
        <w:tc>
          <w:tcPr>
            <w:tcW w:w="1603" w:type="dxa"/>
            <w:noWrap/>
            <w:vAlign w:val="center"/>
          </w:tcPr>
          <w:p>
            <w:pPr>
              <w:spacing w:line="360" w:lineRule="auto"/>
              <w:jc w:val="center"/>
              <w:rPr>
                <w:rFonts w:eastAsia="黑体"/>
                <w:color w:val="000000"/>
                <w:szCs w:val="21"/>
              </w:rPr>
            </w:pPr>
          </w:p>
        </w:tc>
        <w:tc>
          <w:tcPr>
            <w:tcW w:w="1511" w:type="dxa"/>
            <w:noWrap/>
            <w:vAlign w:val="center"/>
          </w:tcPr>
          <w:p>
            <w:pPr>
              <w:spacing w:line="360" w:lineRule="auto"/>
              <w:jc w:val="center"/>
              <w:rPr>
                <w:rFonts w:eastAsia="黑体"/>
                <w:color w:val="000000"/>
                <w:szCs w:val="21"/>
              </w:rPr>
            </w:pPr>
            <w:r>
              <w:rPr>
                <w:rFonts w:eastAsia="黑体"/>
                <w:color w:val="000000"/>
                <w:szCs w:val="21"/>
              </w:rPr>
              <w:t>年龄</w:t>
            </w:r>
          </w:p>
        </w:tc>
        <w:tc>
          <w:tcPr>
            <w:tcW w:w="1301" w:type="dxa"/>
            <w:gridSpan w:val="2"/>
            <w:noWrap/>
            <w:vAlign w:val="center"/>
          </w:tcPr>
          <w:p>
            <w:pPr>
              <w:spacing w:line="360" w:lineRule="auto"/>
              <w:jc w:val="center"/>
              <w:rPr>
                <w:rFonts w:eastAsia="黑体"/>
                <w:color w:val="000000"/>
                <w:szCs w:val="21"/>
              </w:rPr>
            </w:pPr>
          </w:p>
        </w:tc>
        <w:tc>
          <w:tcPr>
            <w:tcW w:w="1634" w:type="dxa"/>
            <w:noWrap/>
            <w:vAlign w:val="center"/>
          </w:tcPr>
          <w:p>
            <w:pPr>
              <w:spacing w:line="360" w:lineRule="auto"/>
              <w:jc w:val="center"/>
              <w:rPr>
                <w:rFonts w:eastAsia="黑体"/>
                <w:color w:val="000000"/>
                <w:szCs w:val="21"/>
              </w:rPr>
            </w:pPr>
            <w:r>
              <w:rPr>
                <w:rFonts w:hint="eastAsia" w:eastAsia="黑体"/>
                <w:color w:val="000000"/>
                <w:szCs w:val="21"/>
              </w:rPr>
              <w:t>性别</w:t>
            </w:r>
          </w:p>
        </w:tc>
        <w:tc>
          <w:tcPr>
            <w:tcW w:w="1318" w:type="dxa"/>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55" w:type="dxa"/>
            <w:noWrap/>
            <w:vAlign w:val="center"/>
          </w:tcPr>
          <w:p>
            <w:pPr>
              <w:spacing w:line="360" w:lineRule="auto"/>
              <w:jc w:val="center"/>
              <w:rPr>
                <w:rFonts w:eastAsia="黑体"/>
                <w:color w:val="000000"/>
                <w:szCs w:val="21"/>
              </w:rPr>
            </w:pPr>
            <w:r>
              <w:rPr>
                <w:rFonts w:eastAsia="黑体"/>
                <w:color w:val="000000"/>
                <w:szCs w:val="21"/>
              </w:rPr>
              <w:t>职称</w:t>
            </w:r>
          </w:p>
        </w:tc>
        <w:tc>
          <w:tcPr>
            <w:tcW w:w="1603" w:type="dxa"/>
            <w:noWrap/>
            <w:vAlign w:val="center"/>
          </w:tcPr>
          <w:p>
            <w:pPr>
              <w:spacing w:line="360" w:lineRule="auto"/>
              <w:jc w:val="center"/>
              <w:rPr>
                <w:rFonts w:eastAsia="黑体"/>
                <w:color w:val="000000"/>
                <w:szCs w:val="21"/>
              </w:rPr>
            </w:pPr>
          </w:p>
        </w:tc>
        <w:tc>
          <w:tcPr>
            <w:tcW w:w="1511" w:type="dxa"/>
            <w:noWrap/>
            <w:vAlign w:val="center"/>
          </w:tcPr>
          <w:p>
            <w:pPr>
              <w:spacing w:line="360" w:lineRule="auto"/>
              <w:jc w:val="center"/>
              <w:rPr>
                <w:rFonts w:eastAsia="黑体"/>
                <w:color w:val="000000"/>
                <w:szCs w:val="21"/>
              </w:rPr>
            </w:pPr>
            <w:r>
              <w:rPr>
                <w:rFonts w:eastAsia="黑体"/>
                <w:color w:val="000000"/>
                <w:szCs w:val="21"/>
              </w:rPr>
              <w:t>学历</w:t>
            </w:r>
          </w:p>
        </w:tc>
        <w:tc>
          <w:tcPr>
            <w:tcW w:w="1301" w:type="dxa"/>
            <w:gridSpan w:val="2"/>
            <w:noWrap/>
            <w:vAlign w:val="center"/>
          </w:tcPr>
          <w:p>
            <w:pPr>
              <w:spacing w:line="360" w:lineRule="auto"/>
              <w:jc w:val="center"/>
              <w:rPr>
                <w:rFonts w:eastAsia="黑体"/>
                <w:color w:val="000000"/>
                <w:szCs w:val="21"/>
              </w:rPr>
            </w:pPr>
          </w:p>
        </w:tc>
        <w:tc>
          <w:tcPr>
            <w:tcW w:w="1634" w:type="dxa"/>
            <w:noWrap/>
            <w:vAlign w:val="center"/>
          </w:tcPr>
          <w:p>
            <w:pPr>
              <w:spacing w:line="360" w:lineRule="auto"/>
              <w:jc w:val="center"/>
              <w:rPr>
                <w:rFonts w:eastAsia="黑体"/>
                <w:color w:val="000000"/>
                <w:szCs w:val="21"/>
              </w:rPr>
            </w:pPr>
            <w:r>
              <w:rPr>
                <w:rFonts w:hint="eastAsia" w:eastAsia="黑体"/>
                <w:color w:val="000000"/>
                <w:szCs w:val="21"/>
              </w:rPr>
              <w:t>专业</w:t>
            </w:r>
          </w:p>
        </w:tc>
        <w:tc>
          <w:tcPr>
            <w:tcW w:w="1318" w:type="dxa"/>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758" w:type="dxa"/>
            <w:gridSpan w:val="2"/>
            <w:noWrap/>
            <w:vAlign w:val="center"/>
          </w:tcPr>
          <w:p>
            <w:pPr>
              <w:spacing w:line="360" w:lineRule="auto"/>
              <w:jc w:val="center"/>
              <w:rPr>
                <w:rFonts w:eastAsia="黑体"/>
                <w:color w:val="000000"/>
                <w:szCs w:val="21"/>
              </w:rPr>
            </w:pPr>
            <w:r>
              <w:rPr>
                <w:rFonts w:eastAsia="黑体"/>
                <w:color w:val="000000"/>
                <w:szCs w:val="21"/>
              </w:rPr>
              <w:t>从事</w:t>
            </w:r>
            <w:r>
              <w:rPr>
                <w:rFonts w:hint="eastAsia" w:eastAsia="黑体"/>
                <w:color w:val="000000"/>
                <w:szCs w:val="21"/>
              </w:rPr>
              <w:t>防雷检测</w:t>
            </w:r>
            <w:r>
              <w:rPr>
                <w:rFonts w:eastAsia="黑体"/>
                <w:color w:val="000000"/>
                <w:szCs w:val="21"/>
              </w:rPr>
              <w:t>工作年限</w:t>
            </w:r>
          </w:p>
        </w:tc>
        <w:tc>
          <w:tcPr>
            <w:tcW w:w="1511" w:type="dxa"/>
            <w:noWrap/>
            <w:vAlign w:val="center"/>
          </w:tcPr>
          <w:p>
            <w:pPr>
              <w:spacing w:line="360" w:lineRule="auto"/>
              <w:jc w:val="center"/>
              <w:rPr>
                <w:rFonts w:eastAsia="黑体"/>
                <w:color w:val="000000"/>
                <w:szCs w:val="21"/>
              </w:rPr>
            </w:pPr>
          </w:p>
        </w:tc>
        <w:tc>
          <w:tcPr>
            <w:tcW w:w="1301" w:type="dxa"/>
            <w:gridSpan w:val="2"/>
            <w:noWrap/>
            <w:vAlign w:val="center"/>
          </w:tcPr>
          <w:p>
            <w:pPr>
              <w:spacing w:line="360" w:lineRule="auto"/>
              <w:jc w:val="center"/>
              <w:rPr>
                <w:rFonts w:eastAsia="黑体"/>
                <w:color w:val="000000"/>
                <w:szCs w:val="21"/>
              </w:rPr>
            </w:pPr>
            <w:r>
              <w:rPr>
                <w:rFonts w:hint="eastAsia" w:eastAsia="黑体"/>
                <w:color w:val="000000"/>
                <w:szCs w:val="21"/>
              </w:rPr>
              <w:t>身份证号码</w:t>
            </w:r>
          </w:p>
        </w:tc>
        <w:tc>
          <w:tcPr>
            <w:tcW w:w="2952" w:type="dxa"/>
            <w:gridSpan w:val="2"/>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56" w:type="dxa"/>
            <w:noWrap/>
            <w:vAlign w:val="center"/>
          </w:tcPr>
          <w:p>
            <w:pPr>
              <w:spacing w:line="360" w:lineRule="auto"/>
              <w:jc w:val="center"/>
              <w:rPr>
                <w:rFonts w:eastAsia="黑体"/>
                <w:color w:val="000000"/>
                <w:szCs w:val="21"/>
              </w:rPr>
            </w:pPr>
          </w:p>
        </w:tc>
        <w:tc>
          <w:tcPr>
            <w:tcW w:w="3646" w:type="dxa"/>
            <w:gridSpan w:val="3"/>
            <w:noWrap/>
            <w:vAlign w:val="center"/>
          </w:tcPr>
          <w:p>
            <w:pPr>
              <w:spacing w:line="360" w:lineRule="auto"/>
              <w:jc w:val="center"/>
              <w:rPr>
                <w:rFonts w:eastAsia="黑体"/>
                <w:color w:val="000000"/>
                <w:szCs w:val="21"/>
              </w:rPr>
            </w:pPr>
            <w:r>
              <w:rPr>
                <w:rFonts w:hint="eastAsia" w:eastAsia="黑体"/>
                <w:color w:val="000000"/>
                <w:szCs w:val="21"/>
              </w:rPr>
              <w:t>所持有证书名称</w:t>
            </w:r>
          </w:p>
        </w:tc>
        <w:tc>
          <w:tcPr>
            <w:tcW w:w="3720" w:type="dxa"/>
            <w:gridSpan w:val="3"/>
            <w:noWrap/>
            <w:vAlign w:val="center"/>
          </w:tcPr>
          <w:p>
            <w:pPr>
              <w:spacing w:line="360" w:lineRule="auto"/>
              <w:jc w:val="center"/>
              <w:rPr>
                <w:rFonts w:eastAsia="黑体"/>
                <w:color w:val="000000"/>
                <w:szCs w:val="21"/>
              </w:rPr>
            </w:pPr>
            <w:r>
              <w:rPr>
                <w:rFonts w:hint="eastAsia" w:eastAsia="黑体"/>
                <w:color w:val="000000"/>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55" w:type="dxa"/>
            <w:noWrap/>
            <w:vAlign w:val="center"/>
          </w:tcPr>
          <w:p>
            <w:pPr>
              <w:spacing w:line="360" w:lineRule="auto"/>
              <w:jc w:val="center"/>
              <w:rPr>
                <w:rFonts w:eastAsia="黑体"/>
                <w:color w:val="000000"/>
                <w:szCs w:val="21"/>
              </w:rPr>
            </w:pPr>
            <w:r>
              <w:rPr>
                <w:rFonts w:hint="eastAsia" w:eastAsia="黑体"/>
                <w:color w:val="000000"/>
                <w:szCs w:val="21"/>
              </w:rPr>
              <w:t>1</w:t>
            </w:r>
          </w:p>
        </w:tc>
        <w:tc>
          <w:tcPr>
            <w:tcW w:w="3647" w:type="dxa"/>
            <w:gridSpan w:val="3"/>
            <w:noWrap/>
            <w:vAlign w:val="center"/>
          </w:tcPr>
          <w:p>
            <w:pPr>
              <w:spacing w:line="360" w:lineRule="auto"/>
              <w:jc w:val="center"/>
              <w:rPr>
                <w:rFonts w:eastAsia="黑体"/>
                <w:color w:val="000000"/>
                <w:szCs w:val="21"/>
              </w:rPr>
            </w:pPr>
          </w:p>
        </w:tc>
        <w:tc>
          <w:tcPr>
            <w:tcW w:w="3720" w:type="dxa"/>
            <w:gridSpan w:val="3"/>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55" w:type="dxa"/>
            <w:noWrap/>
            <w:vAlign w:val="center"/>
          </w:tcPr>
          <w:p>
            <w:pPr>
              <w:spacing w:line="360" w:lineRule="auto"/>
              <w:jc w:val="center"/>
              <w:rPr>
                <w:rFonts w:eastAsia="黑体"/>
                <w:color w:val="000000"/>
                <w:szCs w:val="21"/>
              </w:rPr>
            </w:pPr>
            <w:r>
              <w:rPr>
                <w:rFonts w:hint="eastAsia" w:eastAsia="黑体"/>
                <w:color w:val="000000"/>
                <w:szCs w:val="21"/>
              </w:rPr>
              <w:t>2</w:t>
            </w:r>
          </w:p>
        </w:tc>
        <w:tc>
          <w:tcPr>
            <w:tcW w:w="3647" w:type="dxa"/>
            <w:gridSpan w:val="3"/>
            <w:noWrap/>
            <w:vAlign w:val="center"/>
          </w:tcPr>
          <w:p>
            <w:pPr>
              <w:spacing w:line="360" w:lineRule="auto"/>
              <w:jc w:val="center"/>
              <w:rPr>
                <w:rFonts w:eastAsia="黑体"/>
                <w:color w:val="000000"/>
                <w:szCs w:val="21"/>
              </w:rPr>
            </w:pPr>
          </w:p>
        </w:tc>
        <w:tc>
          <w:tcPr>
            <w:tcW w:w="3720" w:type="dxa"/>
            <w:gridSpan w:val="3"/>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55" w:type="dxa"/>
            <w:noWrap/>
            <w:vAlign w:val="center"/>
          </w:tcPr>
          <w:p>
            <w:pPr>
              <w:spacing w:line="360" w:lineRule="auto"/>
              <w:jc w:val="center"/>
              <w:rPr>
                <w:rFonts w:eastAsia="黑体"/>
                <w:color w:val="000000"/>
                <w:szCs w:val="21"/>
              </w:rPr>
            </w:pPr>
            <w:r>
              <w:rPr>
                <w:rFonts w:hint="eastAsia" w:eastAsia="黑体"/>
                <w:color w:val="000000"/>
                <w:szCs w:val="21"/>
              </w:rPr>
              <w:t>3</w:t>
            </w:r>
          </w:p>
        </w:tc>
        <w:tc>
          <w:tcPr>
            <w:tcW w:w="3647" w:type="dxa"/>
            <w:gridSpan w:val="3"/>
            <w:noWrap/>
            <w:vAlign w:val="center"/>
          </w:tcPr>
          <w:p>
            <w:pPr>
              <w:spacing w:line="360" w:lineRule="auto"/>
              <w:jc w:val="center"/>
              <w:rPr>
                <w:rFonts w:eastAsia="黑体"/>
                <w:color w:val="000000"/>
                <w:szCs w:val="21"/>
              </w:rPr>
            </w:pPr>
          </w:p>
        </w:tc>
        <w:tc>
          <w:tcPr>
            <w:tcW w:w="3720" w:type="dxa"/>
            <w:gridSpan w:val="3"/>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55" w:type="dxa"/>
            <w:noWrap/>
            <w:vAlign w:val="center"/>
          </w:tcPr>
          <w:p>
            <w:pPr>
              <w:spacing w:line="360" w:lineRule="auto"/>
              <w:jc w:val="center"/>
              <w:rPr>
                <w:rFonts w:eastAsia="黑体"/>
                <w:color w:val="000000"/>
                <w:szCs w:val="21"/>
              </w:rPr>
            </w:pPr>
            <w:r>
              <w:rPr>
                <w:rFonts w:hint="eastAsia" w:eastAsia="黑体"/>
                <w:color w:val="000000"/>
                <w:szCs w:val="21"/>
              </w:rPr>
              <w:t>4</w:t>
            </w:r>
          </w:p>
        </w:tc>
        <w:tc>
          <w:tcPr>
            <w:tcW w:w="3647" w:type="dxa"/>
            <w:gridSpan w:val="3"/>
            <w:noWrap/>
            <w:vAlign w:val="center"/>
          </w:tcPr>
          <w:p>
            <w:pPr>
              <w:spacing w:line="360" w:lineRule="auto"/>
              <w:jc w:val="center"/>
              <w:rPr>
                <w:rFonts w:eastAsia="黑体"/>
                <w:color w:val="000000"/>
                <w:szCs w:val="21"/>
              </w:rPr>
            </w:pPr>
          </w:p>
        </w:tc>
        <w:tc>
          <w:tcPr>
            <w:tcW w:w="3720" w:type="dxa"/>
            <w:gridSpan w:val="3"/>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55" w:type="dxa"/>
            <w:noWrap/>
            <w:vAlign w:val="center"/>
          </w:tcPr>
          <w:p>
            <w:pPr>
              <w:spacing w:line="360" w:lineRule="auto"/>
              <w:jc w:val="center"/>
              <w:rPr>
                <w:rFonts w:eastAsia="黑体"/>
                <w:color w:val="000000"/>
                <w:szCs w:val="21"/>
              </w:rPr>
            </w:pPr>
            <w:r>
              <w:rPr>
                <w:rFonts w:hint="eastAsia" w:eastAsia="黑体"/>
                <w:color w:val="000000"/>
                <w:szCs w:val="21"/>
              </w:rPr>
              <w:t>……</w:t>
            </w:r>
          </w:p>
        </w:tc>
        <w:tc>
          <w:tcPr>
            <w:tcW w:w="3647" w:type="dxa"/>
            <w:gridSpan w:val="3"/>
            <w:noWrap/>
            <w:vAlign w:val="center"/>
          </w:tcPr>
          <w:p>
            <w:pPr>
              <w:spacing w:line="360" w:lineRule="auto"/>
              <w:jc w:val="center"/>
              <w:rPr>
                <w:rFonts w:eastAsia="黑体"/>
                <w:color w:val="000000"/>
                <w:szCs w:val="21"/>
              </w:rPr>
            </w:pPr>
          </w:p>
        </w:tc>
        <w:tc>
          <w:tcPr>
            <w:tcW w:w="3720" w:type="dxa"/>
            <w:gridSpan w:val="3"/>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58" w:type="dxa"/>
            <w:gridSpan w:val="2"/>
            <w:noWrap/>
            <w:vAlign w:val="center"/>
          </w:tcPr>
          <w:p>
            <w:pPr>
              <w:spacing w:line="360" w:lineRule="auto"/>
              <w:jc w:val="center"/>
              <w:rPr>
                <w:rFonts w:eastAsia="黑体"/>
                <w:color w:val="000000"/>
                <w:szCs w:val="21"/>
              </w:rPr>
            </w:pPr>
            <w:r>
              <w:rPr>
                <w:rFonts w:eastAsia="黑体"/>
                <w:color w:val="000000"/>
                <w:szCs w:val="21"/>
              </w:rPr>
              <w:t>备注</w:t>
            </w:r>
          </w:p>
        </w:tc>
        <w:tc>
          <w:tcPr>
            <w:tcW w:w="5764" w:type="dxa"/>
            <w:gridSpan w:val="5"/>
            <w:noWrap/>
            <w:vAlign w:val="center"/>
          </w:tcPr>
          <w:p>
            <w:pPr>
              <w:spacing w:line="360" w:lineRule="auto"/>
              <w:jc w:val="center"/>
              <w:rPr>
                <w:rFonts w:eastAsia="黑体"/>
                <w:color w:val="000000"/>
                <w:szCs w:val="21"/>
              </w:rPr>
            </w:pPr>
          </w:p>
        </w:tc>
      </w:tr>
    </w:tbl>
    <w:p>
      <w:pPr>
        <w:rPr>
          <w:sz w:val="24"/>
        </w:rPr>
      </w:pPr>
      <w:r>
        <w:rPr>
          <w:sz w:val="24"/>
        </w:rPr>
        <w:t>注：</w:t>
      </w:r>
    </w:p>
    <w:p>
      <w:pPr>
        <w:spacing w:line="360" w:lineRule="auto"/>
        <w:ind w:firstLine="480" w:firstLineChars="200"/>
        <w:jc w:val="left"/>
        <w:rPr>
          <w:b/>
          <w:bCs/>
          <w:sz w:val="24"/>
          <w:u w:val="single"/>
        </w:rPr>
      </w:pPr>
      <w:r>
        <w:rPr>
          <w:rFonts w:hint="eastAsia"/>
          <w:color w:val="000000"/>
          <w:sz w:val="24"/>
        </w:rPr>
        <w:t>此表后附项目负责人</w:t>
      </w:r>
      <w:r>
        <w:rPr>
          <w:rFonts w:hint="eastAsia"/>
          <w:b/>
          <w:bCs/>
          <w:color w:val="FF0000"/>
          <w:sz w:val="24"/>
          <w:u w:val="single"/>
          <w:lang w:val="en-US" w:eastAsia="zh-CN"/>
        </w:rPr>
        <w:t>中级及以上</w:t>
      </w:r>
      <w:r>
        <w:rPr>
          <w:rFonts w:hint="eastAsia"/>
          <w:b/>
          <w:color w:val="FF0000"/>
          <w:sz w:val="24"/>
          <w:u w:val="single"/>
        </w:rPr>
        <w:t>职称证书</w:t>
      </w:r>
      <w:r>
        <w:rPr>
          <w:rFonts w:hint="eastAsia"/>
          <w:color w:val="000000"/>
          <w:sz w:val="24"/>
          <w:lang w:eastAsia="zh-CN"/>
        </w:rPr>
        <w:t>、</w:t>
      </w:r>
      <w:r>
        <w:rPr>
          <w:rFonts w:hint="eastAsia"/>
          <w:b/>
          <w:color w:val="FF0000"/>
          <w:sz w:val="24"/>
          <w:u w:val="single"/>
        </w:rPr>
        <w:t>雷电防护装置检测专业技术人员职业能力评价合格证书</w:t>
      </w:r>
      <w:r>
        <w:rPr>
          <w:rFonts w:hint="eastAsia"/>
          <w:b/>
          <w:color w:val="FF0000"/>
          <w:sz w:val="24"/>
          <w:u w:val="single"/>
          <w:lang w:eastAsia="zh-CN"/>
        </w:rPr>
        <w:t>、</w:t>
      </w:r>
      <w:r>
        <w:rPr>
          <w:rFonts w:hint="eastAsia"/>
          <w:b/>
          <w:color w:val="FF0000"/>
          <w:sz w:val="24"/>
          <w:u w:val="single"/>
          <w:lang w:val="en-US" w:eastAsia="zh-CN"/>
        </w:rPr>
        <w:t>社保缴费记录</w:t>
      </w:r>
      <w:r>
        <w:rPr>
          <w:rFonts w:hint="eastAsia"/>
          <w:b/>
          <w:color w:val="FF0000"/>
          <w:sz w:val="24"/>
          <w:u w:val="single"/>
        </w:rPr>
        <w:t>等</w:t>
      </w:r>
      <w:r>
        <w:rPr>
          <w:rFonts w:hint="eastAsia"/>
          <w:b w:val="0"/>
          <w:bCs/>
          <w:color w:val="auto"/>
          <w:sz w:val="24"/>
          <w:u w:val="none"/>
        </w:rPr>
        <w:t>资料复印件或影印件</w:t>
      </w:r>
      <w:r>
        <w:rPr>
          <w:color w:val="000000"/>
          <w:sz w:val="24"/>
        </w:rPr>
        <w:t>。若未出具证明材料或证明材料不全或所要求的信息描述不清晰的，</w:t>
      </w:r>
      <w:r>
        <w:rPr>
          <w:rFonts w:hint="eastAsia"/>
          <w:color w:val="000000"/>
          <w:sz w:val="24"/>
        </w:rPr>
        <w:t>其比选申请将被否决。</w:t>
      </w:r>
    </w:p>
    <w:p>
      <w:pPr>
        <w:widowControl/>
        <w:jc w:val="left"/>
        <w:rPr>
          <w:rFonts w:eastAsia="仿宋_GB2312"/>
          <w:sz w:val="24"/>
        </w:rPr>
      </w:pPr>
      <w:r>
        <w:rPr>
          <w:rFonts w:eastAsia="仿宋_GB2312"/>
          <w:sz w:val="24"/>
        </w:rPr>
        <w:br w:type="page"/>
      </w:r>
    </w:p>
    <w:p>
      <w:pPr>
        <w:pStyle w:val="6"/>
        <w:spacing w:line="360" w:lineRule="auto"/>
        <w:jc w:val="center"/>
        <w:rPr>
          <w:rFonts w:ascii="Times New Roman" w:hAnsi="Times New Roman"/>
          <w:color w:val="000000"/>
        </w:rPr>
      </w:pPr>
      <w:bookmarkStart w:id="67" w:name="_Toc21909"/>
      <w:r>
        <w:rPr>
          <w:rFonts w:ascii="Times New Roman" w:hAnsi="Times New Roman"/>
          <w:color w:val="000000"/>
        </w:rPr>
        <w:t>（五）近年承担的业绩情况表</w:t>
      </w:r>
      <w:bookmarkEnd w:id="67"/>
    </w:p>
    <w:p>
      <w:pPr>
        <w:jc w:val="center"/>
        <w:rPr>
          <w:b/>
          <w:bCs/>
          <w:sz w:val="24"/>
        </w:rPr>
      </w:pPr>
      <w:r>
        <w:rPr>
          <w:b/>
          <w:bCs/>
          <w:sz w:val="28"/>
          <w:szCs w:val="28"/>
        </w:rPr>
        <w:t>比选申请人近3年内业绩情况（自2022年1月1日起至今）</w:t>
      </w:r>
    </w:p>
    <w:tbl>
      <w:tblPr>
        <w:tblStyle w:val="2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247"/>
        <w:gridCol w:w="1443"/>
        <w:gridCol w:w="1697"/>
        <w:gridCol w:w="1236"/>
        <w:gridCol w:w="167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012" w:type="dxa"/>
            <w:noWrap/>
            <w:vAlign w:val="center"/>
          </w:tcPr>
          <w:p>
            <w:pPr>
              <w:spacing w:line="360" w:lineRule="auto"/>
              <w:jc w:val="center"/>
              <w:rPr>
                <w:rFonts w:eastAsia="黑体"/>
                <w:color w:val="000000"/>
                <w:szCs w:val="21"/>
              </w:rPr>
            </w:pPr>
            <w:r>
              <w:rPr>
                <w:rFonts w:eastAsia="黑体"/>
                <w:color w:val="000000"/>
                <w:szCs w:val="21"/>
              </w:rPr>
              <w:t>序号</w:t>
            </w:r>
          </w:p>
        </w:tc>
        <w:tc>
          <w:tcPr>
            <w:tcW w:w="1247" w:type="dxa"/>
            <w:noWrap/>
            <w:vAlign w:val="center"/>
          </w:tcPr>
          <w:p>
            <w:pPr>
              <w:spacing w:line="360" w:lineRule="auto"/>
              <w:jc w:val="center"/>
              <w:rPr>
                <w:rFonts w:eastAsia="黑体"/>
                <w:color w:val="000000"/>
                <w:szCs w:val="21"/>
              </w:rPr>
            </w:pPr>
            <w:r>
              <w:rPr>
                <w:rFonts w:eastAsia="黑体"/>
                <w:color w:val="000000"/>
                <w:szCs w:val="21"/>
              </w:rPr>
              <w:t>甲方名称</w:t>
            </w:r>
          </w:p>
        </w:tc>
        <w:tc>
          <w:tcPr>
            <w:tcW w:w="1443" w:type="dxa"/>
            <w:noWrap/>
            <w:vAlign w:val="center"/>
          </w:tcPr>
          <w:p>
            <w:pPr>
              <w:spacing w:line="360" w:lineRule="auto"/>
              <w:jc w:val="center"/>
              <w:rPr>
                <w:rFonts w:eastAsia="黑体"/>
                <w:color w:val="000000"/>
                <w:szCs w:val="21"/>
              </w:rPr>
            </w:pPr>
            <w:r>
              <w:rPr>
                <w:rFonts w:eastAsia="黑体"/>
                <w:color w:val="000000"/>
                <w:szCs w:val="21"/>
              </w:rPr>
              <w:t>项目名称</w:t>
            </w:r>
          </w:p>
        </w:tc>
        <w:tc>
          <w:tcPr>
            <w:tcW w:w="1697" w:type="dxa"/>
            <w:noWrap/>
            <w:vAlign w:val="center"/>
          </w:tcPr>
          <w:p>
            <w:pPr>
              <w:spacing w:line="360" w:lineRule="auto"/>
              <w:jc w:val="center"/>
              <w:rPr>
                <w:rFonts w:eastAsia="黑体"/>
                <w:color w:val="000000"/>
                <w:szCs w:val="21"/>
              </w:rPr>
            </w:pPr>
            <w:r>
              <w:rPr>
                <w:rFonts w:eastAsia="黑体"/>
                <w:color w:val="000000"/>
                <w:szCs w:val="21"/>
              </w:rPr>
              <w:t>合同签订时间</w:t>
            </w:r>
          </w:p>
        </w:tc>
        <w:tc>
          <w:tcPr>
            <w:tcW w:w="1236" w:type="dxa"/>
            <w:noWrap/>
            <w:vAlign w:val="center"/>
          </w:tcPr>
          <w:p>
            <w:pPr>
              <w:spacing w:line="360" w:lineRule="auto"/>
              <w:jc w:val="center"/>
              <w:rPr>
                <w:rFonts w:eastAsia="黑体"/>
                <w:color w:val="000000"/>
                <w:szCs w:val="21"/>
              </w:rPr>
            </w:pPr>
            <w:r>
              <w:rPr>
                <w:rFonts w:eastAsia="黑体"/>
                <w:color w:val="000000"/>
                <w:szCs w:val="21"/>
              </w:rPr>
              <w:t>合同内容</w:t>
            </w:r>
          </w:p>
        </w:tc>
        <w:tc>
          <w:tcPr>
            <w:tcW w:w="1676" w:type="dxa"/>
            <w:noWrap/>
            <w:vAlign w:val="center"/>
          </w:tcPr>
          <w:p>
            <w:pPr>
              <w:jc w:val="center"/>
              <w:rPr>
                <w:rFonts w:eastAsia="黑体"/>
                <w:color w:val="000000"/>
                <w:szCs w:val="21"/>
              </w:rPr>
            </w:pPr>
            <w:r>
              <w:rPr>
                <w:rFonts w:eastAsia="黑体"/>
                <w:color w:val="000000"/>
                <w:szCs w:val="21"/>
              </w:rPr>
              <w:t>甲方联系人及联系方式</w:t>
            </w:r>
          </w:p>
        </w:tc>
        <w:tc>
          <w:tcPr>
            <w:tcW w:w="846" w:type="dxa"/>
            <w:noWrap/>
            <w:vAlign w:val="center"/>
          </w:tcPr>
          <w:p>
            <w:pPr>
              <w:spacing w:line="360" w:lineRule="auto"/>
              <w:jc w:val="center"/>
              <w:rPr>
                <w:rFonts w:eastAsia="黑体"/>
                <w:color w:val="000000"/>
                <w:szCs w:val="21"/>
              </w:rPr>
            </w:pPr>
            <w:r>
              <w:rPr>
                <w:rFonts w:eastAsia="黑体"/>
                <w:color w:val="00000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12" w:type="dxa"/>
            <w:noWrap/>
            <w:vAlign w:val="center"/>
          </w:tcPr>
          <w:p>
            <w:pPr>
              <w:spacing w:line="360" w:lineRule="auto"/>
              <w:jc w:val="center"/>
              <w:rPr>
                <w:rFonts w:eastAsia="黑体"/>
                <w:color w:val="000000"/>
                <w:szCs w:val="21"/>
              </w:rPr>
            </w:pPr>
            <w:r>
              <w:rPr>
                <w:rFonts w:eastAsia="黑体"/>
                <w:color w:val="000000"/>
                <w:szCs w:val="21"/>
              </w:rPr>
              <w:t>1</w:t>
            </w:r>
          </w:p>
        </w:tc>
        <w:tc>
          <w:tcPr>
            <w:tcW w:w="1247" w:type="dxa"/>
            <w:noWrap/>
            <w:vAlign w:val="center"/>
          </w:tcPr>
          <w:p>
            <w:pPr>
              <w:spacing w:line="360" w:lineRule="auto"/>
              <w:jc w:val="center"/>
              <w:rPr>
                <w:rFonts w:eastAsia="黑体"/>
                <w:color w:val="000000"/>
                <w:szCs w:val="21"/>
              </w:rPr>
            </w:pPr>
          </w:p>
        </w:tc>
        <w:tc>
          <w:tcPr>
            <w:tcW w:w="1443" w:type="dxa"/>
            <w:noWrap/>
            <w:vAlign w:val="center"/>
          </w:tcPr>
          <w:p>
            <w:pPr>
              <w:spacing w:line="360" w:lineRule="auto"/>
              <w:jc w:val="center"/>
              <w:rPr>
                <w:rFonts w:eastAsia="黑体"/>
                <w:color w:val="000000"/>
                <w:szCs w:val="21"/>
              </w:rPr>
            </w:pPr>
          </w:p>
        </w:tc>
        <w:tc>
          <w:tcPr>
            <w:tcW w:w="1697" w:type="dxa"/>
            <w:noWrap/>
            <w:vAlign w:val="center"/>
          </w:tcPr>
          <w:p>
            <w:pPr>
              <w:spacing w:line="360" w:lineRule="auto"/>
              <w:jc w:val="center"/>
              <w:rPr>
                <w:rFonts w:eastAsia="黑体"/>
                <w:color w:val="000000"/>
                <w:szCs w:val="21"/>
              </w:rPr>
            </w:pPr>
          </w:p>
        </w:tc>
        <w:tc>
          <w:tcPr>
            <w:tcW w:w="1236" w:type="dxa"/>
            <w:noWrap/>
            <w:vAlign w:val="center"/>
          </w:tcPr>
          <w:p>
            <w:pPr>
              <w:spacing w:line="360" w:lineRule="auto"/>
              <w:jc w:val="center"/>
              <w:rPr>
                <w:rFonts w:eastAsia="黑体"/>
                <w:color w:val="000000"/>
                <w:szCs w:val="21"/>
              </w:rPr>
            </w:pPr>
          </w:p>
        </w:tc>
        <w:tc>
          <w:tcPr>
            <w:tcW w:w="1676" w:type="dxa"/>
            <w:noWrap/>
            <w:vAlign w:val="center"/>
          </w:tcPr>
          <w:p>
            <w:pPr>
              <w:spacing w:line="360" w:lineRule="auto"/>
              <w:jc w:val="center"/>
              <w:rPr>
                <w:rFonts w:eastAsia="黑体"/>
                <w:color w:val="000000"/>
                <w:szCs w:val="21"/>
              </w:rPr>
            </w:pPr>
          </w:p>
        </w:tc>
        <w:tc>
          <w:tcPr>
            <w:tcW w:w="846" w:type="dxa"/>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12" w:type="dxa"/>
            <w:noWrap/>
            <w:vAlign w:val="center"/>
          </w:tcPr>
          <w:p>
            <w:pPr>
              <w:spacing w:line="360" w:lineRule="auto"/>
              <w:jc w:val="center"/>
              <w:rPr>
                <w:rFonts w:eastAsia="黑体"/>
                <w:color w:val="000000"/>
                <w:szCs w:val="21"/>
              </w:rPr>
            </w:pPr>
            <w:r>
              <w:rPr>
                <w:rFonts w:eastAsia="黑体"/>
                <w:color w:val="000000"/>
                <w:szCs w:val="21"/>
              </w:rPr>
              <w:t>2</w:t>
            </w:r>
          </w:p>
        </w:tc>
        <w:tc>
          <w:tcPr>
            <w:tcW w:w="1247" w:type="dxa"/>
            <w:noWrap/>
            <w:vAlign w:val="center"/>
          </w:tcPr>
          <w:p>
            <w:pPr>
              <w:spacing w:line="360" w:lineRule="auto"/>
              <w:jc w:val="center"/>
              <w:rPr>
                <w:rFonts w:eastAsia="黑体"/>
                <w:color w:val="000000"/>
                <w:szCs w:val="21"/>
              </w:rPr>
            </w:pPr>
          </w:p>
        </w:tc>
        <w:tc>
          <w:tcPr>
            <w:tcW w:w="1443" w:type="dxa"/>
            <w:noWrap/>
            <w:vAlign w:val="center"/>
          </w:tcPr>
          <w:p>
            <w:pPr>
              <w:spacing w:line="360" w:lineRule="auto"/>
              <w:jc w:val="center"/>
              <w:rPr>
                <w:rFonts w:eastAsia="黑体"/>
                <w:color w:val="000000"/>
                <w:szCs w:val="21"/>
              </w:rPr>
            </w:pPr>
          </w:p>
        </w:tc>
        <w:tc>
          <w:tcPr>
            <w:tcW w:w="1697" w:type="dxa"/>
            <w:noWrap/>
            <w:vAlign w:val="center"/>
          </w:tcPr>
          <w:p>
            <w:pPr>
              <w:spacing w:line="360" w:lineRule="auto"/>
              <w:jc w:val="center"/>
              <w:rPr>
                <w:rFonts w:eastAsia="黑体"/>
                <w:color w:val="000000"/>
                <w:szCs w:val="21"/>
              </w:rPr>
            </w:pPr>
          </w:p>
        </w:tc>
        <w:tc>
          <w:tcPr>
            <w:tcW w:w="1236" w:type="dxa"/>
            <w:noWrap/>
            <w:vAlign w:val="center"/>
          </w:tcPr>
          <w:p>
            <w:pPr>
              <w:spacing w:line="360" w:lineRule="auto"/>
              <w:jc w:val="center"/>
              <w:rPr>
                <w:rFonts w:eastAsia="黑体"/>
                <w:color w:val="000000"/>
                <w:szCs w:val="21"/>
              </w:rPr>
            </w:pPr>
          </w:p>
        </w:tc>
        <w:tc>
          <w:tcPr>
            <w:tcW w:w="1676" w:type="dxa"/>
            <w:noWrap/>
            <w:vAlign w:val="center"/>
          </w:tcPr>
          <w:p>
            <w:pPr>
              <w:spacing w:line="360" w:lineRule="auto"/>
              <w:jc w:val="center"/>
              <w:rPr>
                <w:rFonts w:eastAsia="黑体"/>
                <w:color w:val="000000"/>
                <w:szCs w:val="21"/>
              </w:rPr>
            </w:pPr>
          </w:p>
        </w:tc>
        <w:tc>
          <w:tcPr>
            <w:tcW w:w="846" w:type="dxa"/>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12" w:type="dxa"/>
            <w:noWrap/>
            <w:vAlign w:val="center"/>
          </w:tcPr>
          <w:p>
            <w:pPr>
              <w:spacing w:line="360" w:lineRule="auto"/>
              <w:jc w:val="center"/>
              <w:rPr>
                <w:rFonts w:eastAsia="黑体"/>
                <w:color w:val="000000"/>
                <w:szCs w:val="21"/>
              </w:rPr>
            </w:pPr>
            <w:r>
              <w:rPr>
                <w:rFonts w:eastAsia="黑体"/>
                <w:color w:val="000000"/>
                <w:szCs w:val="21"/>
              </w:rPr>
              <w:t>3</w:t>
            </w:r>
          </w:p>
        </w:tc>
        <w:tc>
          <w:tcPr>
            <w:tcW w:w="1247" w:type="dxa"/>
            <w:noWrap/>
            <w:vAlign w:val="center"/>
          </w:tcPr>
          <w:p>
            <w:pPr>
              <w:spacing w:line="360" w:lineRule="auto"/>
              <w:jc w:val="center"/>
              <w:rPr>
                <w:rFonts w:eastAsia="黑体"/>
                <w:color w:val="000000"/>
                <w:szCs w:val="21"/>
              </w:rPr>
            </w:pPr>
          </w:p>
        </w:tc>
        <w:tc>
          <w:tcPr>
            <w:tcW w:w="1443" w:type="dxa"/>
            <w:noWrap/>
            <w:vAlign w:val="center"/>
          </w:tcPr>
          <w:p>
            <w:pPr>
              <w:spacing w:line="360" w:lineRule="auto"/>
              <w:jc w:val="center"/>
              <w:rPr>
                <w:rFonts w:eastAsia="黑体"/>
                <w:color w:val="000000"/>
                <w:szCs w:val="21"/>
              </w:rPr>
            </w:pPr>
          </w:p>
        </w:tc>
        <w:tc>
          <w:tcPr>
            <w:tcW w:w="1697" w:type="dxa"/>
            <w:noWrap/>
            <w:vAlign w:val="center"/>
          </w:tcPr>
          <w:p>
            <w:pPr>
              <w:spacing w:line="360" w:lineRule="auto"/>
              <w:jc w:val="center"/>
              <w:rPr>
                <w:rFonts w:eastAsia="黑体"/>
                <w:color w:val="000000"/>
                <w:szCs w:val="21"/>
              </w:rPr>
            </w:pPr>
          </w:p>
        </w:tc>
        <w:tc>
          <w:tcPr>
            <w:tcW w:w="1236" w:type="dxa"/>
            <w:noWrap/>
            <w:vAlign w:val="center"/>
          </w:tcPr>
          <w:p>
            <w:pPr>
              <w:spacing w:line="360" w:lineRule="auto"/>
              <w:jc w:val="center"/>
              <w:rPr>
                <w:rFonts w:eastAsia="黑体"/>
                <w:color w:val="000000"/>
                <w:szCs w:val="21"/>
              </w:rPr>
            </w:pPr>
          </w:p>
        </w:tc>
        <w:tc>
          <w:tcPr>
            <w:tcW w:w="1676" w:type="dxa"/>
            <w:noWrap/>
            <w:vAlign w:val="center"/>
          </w:tcPr>
          <w:p>
            <w:pPr>
              <w:spacing w:line="360" w:lineRule="auto"/>
              <w:jc w:val="center"/>
              <w:rPr>
                <w:rFonts w:eastAsia="黑体"/>
                <w:color w:val="000000"/>
                <w:szCs w:val="21"/>
              </w:rPr>
            </w:pPr>
          </w:p>
        </w:tc>
        <w:tc>
          <w:tcPr>
            <w:tcW w:w="846" w:type="dxa"/>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12" w:type="dxa"/>
            <w:noWrap/>
            <w:vAlign w:val="center"/>
          </w:tcPr>
          <w:p>
            <w:pPr>
              <w:spacing w:line="360" w:lineRule="auto"/>
              <w:jc w:val="center"/>
              <w:rPr>
                <w:rFonts w:eastAsia="黑体"/>
                <w:color w:val="000000"/>
                <w:szCs w:val="21"/>
              </w:rPr>
            </w:pPr>
            <w:r>
              <w:rPr>
                <w:rFonts w:eastAsia="黑体"/>
                <w:color w:val="000000"/>
                <w:szCs w:val="21"/>
              </w:rPr>
              <w:t>4</w:t>
            </w:r>
          </w:p>
        </w:tc>
        <w:tc>
          <w:tcPr>
            <w:tcW w:w="1247" w:type="dxa"/>
            <w:noWrap/>
            <w:vAlign w:val="center"/>
          </w:tcPr>
          <w:p>
            <w:pPr>
              <w:spacing w:line="360" w:lineRule="auto"/>
              <w:jc w:val="center"/>
              <w:rPr>
                <w:rFonts w:eastAsia="黑体"/>
                <w:color w:val="000000"/>
                <w:szCs w:val="21"/>
              </w:rPr>
            </w:pPr>
          </w:p>
        </w:tc>
        <w:tc>
          <w:tcPr>
            <w:tcW w:w="1443" w:type="dxa"/>
            <w:noWrap/>
            <w:vAlign w:val="center"/>
          </w:tcPr>
          <w:p>
            <w:pPr>
              <w:spacing w:line="360" w:lineRule="auto"/>
              <w:jc w:val="center"/>
              <w:rPr>
                <w:rFonts w:eastAsia="黑体"/>
                <w:color w:val="000000"/>
                <w:szCs w:val="21"/>
              </w:rPr>
            </w:pPr>
          </w:p>
        </w:tc>
        <w:tc>
          <w:tcPr>
            <w:tcW w:w="1697" w:type="dxa"/>
            <w:noWrap/>
            <w:vAlign w:val="center"/>
          </w:tcPr>
          <w:p>
            <w:pPr>
              <w:spacing w:line="360" w:lineRule="auto"/>
              <w:jc w:val="center"/>
              <w:rPr>
                <w:rFonts w:eastAsia="黑体"/>
                <w:color w:val="000000"/>
                <w:szCs w:val="21"/>
              </w:rPr>
            </w:pPr>
          </w:p>
        </w:tc>
        <w:tc>
          <w:tcPr>
            <w:tcW w:w="1236" w:type="dxa"/>
            <w:noWrap/>
            <w:vAlign w:val="center"/>
          </w:tcPr>
          <w:p>
            <w:pPr>
              <w:spacing w:line="360" w:lineRule="auto"/>
              <w:jc w:val="center"/>
              <w:rPr>
                <w:rFonts w:eastAsia="黑体"/>
                <w:color w:val="000000"/>
                <w:szCs w:val="21"/>
              </w:rPr>
            </w:pPr>
          </w:p>
        </w:tc>
        <w:tc>
          <w:tcPr>
            <w:tcW w:w="1676" w:type="dxa"/>
            <w:noWrap/>
            <w:vAlign w:val="center"/>
          </w:tcPr>
          <w:p>
            <w:pPr>
              <w:spacing w:line="360" w:lineRule="auto"/>
              <w:jc w:val="center"/>
              <w:rPr>
                <w:rFonts w:eastAsia="黑体"/>
                <w:color w:val="000000"/>
                <w:szCs w:val="21"/>
              </w:rPr>
            </w:pPr>
          </w:p>
        </w:tc>
        <w:tc>
          <w:tcPr>
            <w:tcW w:w="846" w:type="dxa"/>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12" w:type="dxa"/>
            <w:noWrap/>
            <w:vAlign w:val="center"/>
          </w:tcPr>
          <w:p>
            <w:pPr>
              <w:spacing w:line="360" w:lineRule="auto"/>
              <w:jc w:val="center"/>
              <w:rPr>
                <w:rFonts w:eastAsia="黑体"/>
                <w:color w:val="000000"/>
                <w:szCs w:val="21"/>
              </w:rPr>
            </w:pPr>
            <w:r>
              <w:rPr>
                <w:rFonts w:eastAsia="黑体"/>
                <w:color w:val="000000"/>
                <w:szCs w:val="21"/>
              </w:rPr>
              <w:t>…</w:t>
            </w:r>
          </w:p>
        </w:tc>
        <w:tc>
          <w:tcPr>
            <w:tcW w:w="1247" w:type="dxa"/>
            <w:noWrap/>
            <w:vAlign w:val="center"/>
          </w:tcPr>
          <w:p>
            <w:pPr>
              <w:spacing w:line="360" w:lineRule="auto"/>
              <w:jc w:val="center"/>
              <w:rPr>
                <w:rFonts w:eastAsia="黑体"/>
                <w:color w:val="000000"/>
                <w:szCs w:val="21"/>
              </w:rPr>
            </w:pPr>
          </w:p>
        </w:tc>
        <w:tc>
          <w:tcPr>
            <w:tcW w:w="1443" w:type="dxa"/>
            <w:noWrap/>
            <w:vAlign w:val="center"/>
          </w:tcPr>
          <w:p>
            <w:pPr>
              <w:spacing w:line="360" w:lineRule="auto"/>
              <w:jc w:val="center"/>
              <w:rPr>
                <w:rFonts w:eastAsia="黑体"/>
                <w:color w:val="000000"/>
                <w:szCs w:val="21"/>
              </w:rPr>
            </w:pPr>
          </w:p>
        </w:tc>
        <w:tc>
          <w:tcPr>
            <w:tcW w:w="1697" w:type="dxa"/>
            <w:noWrap/>
            <w:vAlign w:val="center"/>
          </w:tcPr>
          <w:p>
            <w:pPr>
              <w:spacing w:line="360" w:lineRule="auto"/>
              <w:jc w:val="center"/>
              <w:rPr>
                <w:rFonts w:eastAsia="黑体"/>
                <w:color w:val="000000"/>
                <w:szCs w:val="21"/>
              </w:rPr>
            </w:pPr>
          </w:p>
        </w:tc>
        <w:tc>
          <w:tcPr>
            <w:tcW w:w="1236" w:type="dxa"/>
            <w:noWrap/>
            <w:vAlign w:val="center"/>
          </w:tcPr>
          <w:p>
            <w:pPr>
              <w:spacing w:line="360" w:lineRule="auto"/>
              <w:jc w:val="center"/>
              <w:rPr>
                <w:rFonts w:eastAsia="黑体"/>
                <w:color w:val="000000"/>
                <w:szCs w:val="21"/>
              </w:rPr>
            </w:pPr>
          </w:p>
        </w:tc>
        <w:tc>
          <w:tcPr>
            <w:tcW w:w="1676" w:type="dxa"/>
            <w:noWrap/>
            <w:vAlign w:val="center"/>
          </w:tcPr>
          <w:p>
            <w:pPr>
              <w:spacing w:line="360" w:lineRule="auto"/>
              <w:jc w:val="center"/>
              <w:rPr>
                <w:rFonts w:eastAsia="黑体"/>
                <w:color w:val="000000"/>
                <w:szCs w:val="21"/>
              </w:rPr>
            </w:pPr>
          </w:p>
        </w:tc>
        <w:tc>
          <w:tcPr>
            <w:tcW w:w="846" w:type="dxa"/>
            <w:noWrap/>
            <w:vAlign w:val="center"/>
          </w:tcPr>
          <w:p>
            <w:pPr>
              <w:spacing w:line="360" w:lineRule="auto"/>
              <w:jc w:val="center"/>
              <w:rPr>
                <w:rFonts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2" w:type="dxa"/>
            <w:noWrap/>
            <w:vAlign w:val="center"/>
          </w:tcPr>
          <w:p>
            <w:pPr>
              <w:spacing w:line="360" w:lineRule="auto"/>
              <w:jc w:val="center"/>
              <w:rPr>
                <w:rFonts w:eastAsia="黑体"/>
                <w:color w:val="000000"/>
                <w:szCs w:val="21"/>
              </w:rPr>
            </w:pPr>
            <w:r>
              <w:rPr>
                <w:rFonts w:eastAsia="黑体"/>
                <w:color w:val="000000"/>
                <w:szCs w:val="21"/>
              </w:rPr>
              <w:t>…</w:t>
            </w:r>
          </w:p>
        </w:tc>
        <w:tc>
          <w:tcPr>
            <w:tcW w:w="1247" w:type="dxa"/>
            <w:noWrap/>
            <w:vAlign w:val="center"/>
          </w:tcPr>
          <w:p>
            <w:pPr>
              <w:spacing w:line="360" w:lineRule="auto"/>
              <w:jc w:val="center"/>
              <w:rPr>
                <w:rFonts w:eastAsia="黑体"/>
                <w:color w:val="000000"/>
                <w:szCs w:val="21"/>
              </w:rPr>
            </w:pPr>
          </w:p>
        </w:tc>
        <w:tc>
          <w:tcPr>
            <w:tcW w:w="1443" w:type="dxa"/>
            <w:noWrap/>
            <w:vAlign w:val="center"/>
          </w:tcPr>
          <w:p>
            <w:pPr>
              <w:spacing w:line="360" w:lineRule="auto"/>
              <w:jc w:val="center"/>
              <w:rPr>
                <w:rFonts w:eastAsia="黑体"/>
                <w:color w:val="000000"/>
                <w:szCs w:val="21"/>
              </w:rPr>
            </w:pPr>
          </w:p>
        </w:tc>
        <w:tc>
          <w:tcPr>
            <w:tcW w:w="1697" w:type="dxa"/>
            <w:noWrap/>
            <w:vAlign w:val="center"/>
          </w:tcPr>
          <w:p>
            <w:pPr>
              <w:spacing w:line="360" w:lineRule="auto"/>
              <w:jc w:val="center"/>
              <w:rPr>
                <w:rFonts w:eastAsia="黑体"/>
                <w:color w:val="000000"/>
                <w:szCs w:val="21"/>
              </w:rPr>
            </w:pPr>
          </w:p>
        </w:tc>
        <w:tc>
          <w:tcPr>
            <w:tcW w:w="1236" w:type="dxa"/>
            <w:noWrap/>
            <w:vAlign w:val="center"/>
          </w:tcPr>
          <w:p>
            <w:pPr>
              <w:spacing w:line="360" w:lineRule="auto"/>
              <w:jc w:val="center"/>
              <w:rPr>
                <w:rFonts w:eastAsia="黑体"/>
                <w:color w:val="000000"/>
                <w:szCs w:val="21"/>
              </w:rPr>
            </w:pPr>
          </w:p>
        </w:tc>
        <w:tc>
          <w:tcPr>
            <w:tcW w:w="1676" w:type="dxa"/>
            <w:noWrap/>
            <w:vAlign w:val="center"/>
          </w:tcPr>
          <w:p>
            <w:pPr>
              <w:spacing w:line="360" w:lineRule="auto"/>
              <w:jc w:val="center"/>
              <w:rPr>
                <w:rFonts w:eastAsia="黑体"/>
                <w:color w:val="000000"/>
                <w:szCs w:val="21"/>
              </w:rPr>
            </w:pPr>
          </w:p>
        </w:tc>
        <w:tc>
          <w:tcPr>
            <w:tcW w:w="846" w:type="dxa"/>
            <w:noWrap/>
            <w:vAlign w:val="center"/>
          </w:tcPr>
          <w:p>
            <w:pPr>
              <w:spacing w:line="360" w:lineRule="auto"/>
              <w:jc w:val="center"/>
              <w:rPr>
                <w:rFonts w:eastAsia="黑体"/>
                <w:color w:val="000000"/>
                <w:szCs w:val="21"/>
              </w:rPr>
            </w:pPr>
          </w:p>
        </w:tc>
      </w:tr>
    </w:tbl>
    <w:p>
      <w:pPr>
        <w:rPr>
          <w:sz w:val="24"/>
        </w:rPr>
      </w:pPr>
    </w:p>
    <w:p>
      <w:pPr>
        <w:rPr>
          <w:sz w:val="24"/>
        </w:rPr>
      </w:pPr>
      <w:r>
        <w:rPr>
          <w:sz w:val="24"/>
        </w:rPr>
        <w:t>注：</w:t>
      </w:r>
    </w:p>
    <w:p>
      <w:pPr>
        <w:spacing w:line="440" w:lineRule="exact"/>
        <w:jc w:val="left"/>
        <w:rPr>
          <w:sz w:val="24"/>
        </w:rPr>
      </w:pPr>
      <w:r>
        <w:rPr>
          <w:sz w:val="24"/>
        </w:rPr>
        <w:t>（1）本表后附比选申请人满足比选文件要求的业绩证明材料：合同清晰影印件。</w:t>
      </w:r>
    </w:p>
    <w:p>
      <w:pPr>
        <w:spacing w:line="440" w:lineRule="exact"/>
        <w:rPr>
          <w:sz w:val="24"/>
        </w:rPr>
      </w:pPr>
      <w:r>
        <w:rPr>
          <w:sz w:val="24"/>
        </w:rPr>
        <w:t>（2）上述项目的业绩证明资料，日期以合同签订日期为准</w:t>
      </w:r>
      <w:r>
        <w:rPr>
          <w:rFonts w:hint="eastAsia"/>
          <w:sz w:val="24"/>
        </w:rPr>
        <w:t>。</w:t>
      </w:r>
    </w:p>
    <w:p>
      <w:pPr>
        <w:spacing w:line="440" w:lineRule="exact"/>
        <w:rPr>
          <w:color w:val="000000"/>
          <w:sz w:val="24"/>
        </w:rPr>
      </w:pPr>
      <w:r>
        <w:rPr>
          <w:color w:val="000000"/>
          <w:sz w:val="24"/>
        </w:rPr>
        <w:t>（3）合同证明资料应能体现相关合同</w:t>
      </w:r>
      <w:r>
        <w:rPr>
          <w:color w:val="FF0000"/>
          <w:sz w:val="24"/>
        </w:rPr>
        <w:t>签订时间、合同范围、合同签署页</w:t>
      </w:r>
      <w:r>
        <w:rPr>
          <w:color w:val="000000"/>
          <w:sz w:val="24"/>
        </w:rPr>
        <w:t>等内容，并加盖比选申请人公章。</w:t>
      </w:r>
    </w:p>
    <w:p>
      <w:pPr>
        <w:spacing w:line="440" w:lineRule="exact"/>
        <w:jc w:val="left"/>
        <w:rPr>
          <w:sz w:val="24"/>
        </w:rPr>
      </w:pPr>
      <w:r>
        <w:rPr>
          <w:sz w:val="24"/>
        </w:rPr>
        <w:t>（</w:t>
      </w:r>
      <w:r>
        <w:rPr>
          <w:rFonts w:hint="eastAsia"/>
          <w:sz w:val="24"/>
        </w:rPr>
        <w:t>4</w:t>
      </w:r>
      <w:r>
        <w:rPr>
          <w:sz w:val="24"/>
        </w:rPr>
        <w:t>）若未出具证明材料或证明材料不全或所要求的信息描述不清晰的，该业绩不予认定。</w:t>
      </w:r>
    </w:p>
    <w:p>
      <w:pPr>
        <w:spacing w:line="440" w:lineRule="exact"/>
        <w:jc w:val="left"/>
        <w:rPr>
          <w:sz w:val="24"/>
        </w:rPr>
      </w:pPr>
      <w:r>
        <w:rPr>
          <w:sz w:val="24"/>
        </w:rPr>
        <w:t>（</w:t>
      </w:r>
      <w:r>
        <w:rPr>
          <w:rFonts w:hint="eastAsia"/>
          <w:sz w:val="24"/>
        </w:rPr>
        <w:t>5</w:t>
      </w:r>
      <w:r>
        <w:rPr>
          <w:sz w:val="24"/>
        </w:rPr>
        <w:t>）若近年来，比选申请人法人机构发生合法变更或重组或法人名称变更时，应提供相关部门的合法批件或其他相关证明材料来证明其所附业绩的继承性。</w:t>
      </w:r>
    </w:p>
    <w:p>
      <w:r>
        <w:br w:type="page"/>
      </w:r>
    </w:p>
    <w:p>
      <w:pPr>
        <w:pStyle w:val="6"/>
        <w:snapToGrid w:val="0"/>
        <w:spacing w:line="360" w:lineRule="auto"/>
        <w:jc w:val="center"/>
        <w:rPr>
          <w:rFonts w:ascii="Times New Roman" w:hAnsi="Times New Roman"/>
          <w:color w:val="000000"/>
          <w:sz w:val="21"/>
          <w:szCs w:val="21"/>
        </w:rPr>
      </w:pPr>
      <w:bookmarkStart w:id="68" w:name="_Toc9216"/>
      <w:r>
        <w:rPr>
          <w:rFonts w:ascii="Times New Roman" w:hAnsi="Times New Roman"/>
          <w:color w:val="000000"/>
        </w:rPr>
        <w:t>（六）信誉资料</w:t>
      </w:r>
      <w:bookmarkEnd w:id="68"/>
    </w:p>
    <w:p>
      <w:pPr>
        <w:spacing w:line="560" w:lineRule="exact"/>
        <w:ind w:firstLine="480" w:firstLineChars="200"/>
        <w:rPr>
          <w:color w:val="000000"/>
          <w:sz w:val="24"/>
        </w:rPr>
      </w:pPr>
      <w:r>
        <w:rPr>
          <w:color w:val="000000"/>
          <w:sz w:val="24"/>
        </w:rPr>
        <w:t>（1）比选申请人对通过</w:t>
      </w:r>
      <w:r>
        <w:rPr>
          <w:rFonts w:hint="eastAsia"/>
          <w:color w:val="000000"/>
          <w:sz w:val="24"/>
        </w:rPr>
        <w:t>“</w:t>
      </w:r>
      <w:r>
        <w:rPr>
          <w:color w:val="000000"/>
          <w:sz w:val="24"/>
        </w:rPr>
        <w:t>信用中国</w:t>
      </w:r>
      <w:r>
        <w:rPr>
          <w:rFonts w:hint="eastAsia"/>
          <w:color w:val="000000"/>
          <w:sz w:val="24"/>
        </w:rPr>
        <w:t>”</w:t>
      </w:r>
      <w:r>
        <w:rPr>
          <w:color w:val="000000"/>
          <w:sz w:val="24"/>
        </w:rPr>
        <w:t>网站（http：//www.creditchina.gov.cn/）查询</w:t>
      </w:r>
      <w:r>
        <w:rPr>
          <w:rFonts w:hint="eastAsia"/>
          <w:color w:val="000000"/>
          <w:sz w:val="24"/>
        </w:rPr>
        <w:t>“</w:t>
      </w:r>
      <w:r>
        <w:rPr>
          <w:color w:val="000000"/>
          <w:sz w:val="24"/>
        </w:rPr>
        <w:t>失信被执行人</w:t>
      </w:r>
      <w:r>
        <w:rPr>
          <w:rFonts w:hint="eastAsia"/>
          <w:color w:val="000000"/>
          <w:sz w:val="24"/>
        </w:rPr>
        <w:t>”</w:t>
      </w:r>
      <w:r>
        <w:rPr>
          <w:color w:val="000000"/>
          <w:sz w:val="24"/>
        </w:rPr>
        <w:t>链接</w:t>
      </w:r>
      <w:r>
        <w:rPr>
          <w:rFonts w:hint="eastAsia"/>
          <w:color w:val="000000"/>
          <w:sz w:val="24"/>
        </w:rPr>
        <w:t>“</w:t>
      </w:r>
      <w:r>
        <w:rPr>
          <w:color w:val="000000"/>
          <w:sz w:val="24"/>
        </w:rPr>
        <w:t>中国执行信息公开网(http://zxgk.court.gov.cn/shixin/)</w:t>
      </w:r>
      <w:r>
        <w:rPr>
          <w:rFonts w:hint="eastAsia"/>
          <w:color w:val="000000"/>
          <w:sz w:val="24"/>
        </w:rPr>
        <w:t>”</w:t>
      </w:r>
      <w:r>
        <w:rPr>
          <w:color w:val="000000"/>
          <w:sz w:val="24"/>
        </w:rPr>
        <w:t>中列为失信被执行人的比选申请人，不得参加本次比选。（</w:t>
      </w:r>
      <w:r>
        <w:rPr>
          <w:color w:val="000000"/>
          <w:sz w:val="24"/>
          <w:u w:val="single"/>
        </w:rPr>
        <w:t>比选申请人须提供附查询结果截图</w:t>
      </w:r>
      <w:r>
        <w:rPr>
          <w:color w:val="000000"/>
          <w:sz w:val="24"/>
        </w:rPr>
        <w:t>）</w:t>
      </w:r>
    </w:p>
    <w:p>
      <w:pPr>
        <w:spacing w:line="560" w:lineRule="exact"/>
        <w:ind w:firstLine="480" w:firstLineChars="200"/>
        <w:rPr>
          <w:color w:val="000000"/>
          <w:sz w:val="24"/>
        </w:rPr>
      </w:pPr>
      <w:r>
        <w:rPr>
          <w:color w:val="000000"/>
          <w:sz w:val="24"/>
        </w:rPr>
        <w:t>（2）比选申请人在国家企业信用信息公示系统（www.gsxt.gov.cn）中查询未被列入严重违法失信企业名单</w:t>
      </w:r>
      <w:r>
        <w:rPr>
          <w:color w:val="000000"/>
          <w:sz w:val="24"/>
          <w:u w:val="single"/>
        </w:rPr>
        <w:t>（比选申请人须提供查询结果截图）</w:t>
      </w:r>
      <w:r>
        <w:rPr>
          <w:color w:val="000000"/>
          <w:sz w:val="24"/>
        </w:rPr>
        <w:t>。</w:t>
      </w:r>
    </w:p>
    <w:p>
      <w:pPr>
        <w:spacing w:line="560" w:lineRule="exact"/>
        <w:ind w:firstLine="480" w:firstLineChars="200"/>
      </w:pPr>
      <w:r>
        <w:rPr>
          <w:color w:val="000000"/>
          <w:sz w:val="24"/>
        </w:rPr>
        <w:t>（3）在202</w:t>
      </w:r>
      <w:r>
        <w:rPr>
          <w:rFonts w:hint="eastAsia"/>
          <w:color w:val="000000"/>
          <w:sz w:val="24"/>
        </w:rPr>
        <w:t>2</w:t>
      </w:r>
      <w:r>
        <w:rPr>
          <w:color w:val="000000"/>
          <w:sz w:val="24"/>
        </w:rPr>
        <w:t>年1月1日至本项目比选截止日期间，比选申请人（单位）、法定代表人没有被人民法院生效判决或裁定认定为行贿犯罪</w:t>
      </w:r>
      <w:r>
        <w:rPr>
          <w:color w:val="000000"/>
          <w:sz w:val="24"/>
          <w:u w:val="single"/>
        </w:rPr>
        <w:t>（比选申请人须提交无行贿犯罪的承诺函）</w:t>
      </w:r>
      <w:r>
        <w:rPr>
          <w:color w:val="000000"/>
          <w:sz w:val="24"/>
        </w:rPr>
        <w:t>。</w:t>
      </w:r>
    </w:p>
    <w:p>
      <w:pPr>
        <w:pStyle w:val="33"/>
        <w:spacing w:line="560" w:lineRule="exact"/>
      </w:pPr>
    </w:p>
    <w:p>
      <w:pPr>
        <w:pStyle w:val="33"/>
      </w:pPr>
    </w:p>
    <w:p>
      <w:pPr>
        <w:spacing w:line="360" w:lineRule="auto"/>
        <w:ind w:firstLine="420" w:firstLineChars="200"/>
      </w:pPr>
      <w:r>
        <w:rPr>
          <w:bCs/>
          <w:color w:val="000000"/>
          <w:szCs w:val="21"/>
        </w:rPr>
        <w:t>注：提供证明文件资料（含各类影印件）须保证清晰可辩，并加盖比选申请人公章。</w:t>
      </w:r>
    </w:p>
    <w:p>
      <w:pPr>
        <w:rPr>
          <w:szCs w:val="21"/>
        </w:rPr>
      </w:pPr>
      <w:r>
        <w:rPr>
          <w:szCs w:val="21"/>
        </w:rPr>
        <w:br w:type="page"/>
      </w:r>
    </w:p>
    <w:p>
      <w:pPr>
        <w:rPr>
          <w:b/>
          <w:sz w:val="28"/>
        </w:rPr>
      </w:pPr>
      <w:r>
        <w:rPr>
          <w:b/>
          <w:sz w:val="28"/>
        </w:rPr>
        <w:t>附件：无行贿犯罪的承诺函</w:t>
      </w:r>
    </w:p>
    <w:p>
      <w:pPr>
        <w:spacing w:line="360" w:lineRule="auto"/>
        <w:ind w:firstLine="480" w:firstLineChars="200"/>
        <w:rPr>
          <w:bCs/>
          <w:sz w:val="24"/>
        </w:rPr>
      </w:pPr>
    </w:p>
    <w:p>
      <w:pPr>
        <w:spacing w:line="460" w:lineRule="exact"/>
        <w:jc w:val="center"/>
        <w:rPr>
          <w:b/>
          <w:bCs/>
          <w:sz w:val="28"/>
          <w:szCs w:val="28"/>
        </w:rPr>
      </w:pPr>
      <w:r>
        <w:rPr>
          <w:b/>
          <w:bCs/>
          <w:sz w:val="28"/>
          <w:szCs w:val="28"/>
        </w:rPr>
        <w:t>无行贿犯罪的承诺函</w:t>
      </w:r>
    </w:p>
    <w:p>
      <w:pPr>
        <w:spacing w:line="460" w:lineRule="exact"/>
        <w:rPr>
          <w:sz w:val="24"/>
        </w:rPr>
      </w:pPr>
    </w:p>
    <w:p>
      <w:pPr>
        <w:spacing w:line="460" w:lineRule="exact"/>
        <w:rPr>
          <w:sz w:val="24"/>
        </w:rPr>
      </w:pPr>
      <w:r>
        <w:rPr>
          <w:sz w:val="24"/>
        </w:rPr>
        <w:t>四川成渝高速公路股份有限公司公路运营管理一分公司：</w:t>
      </w:r>
    </w:p>
    <w:p>
      <w:pPr>
        <w:spacing w:line="460" w:lineRule="exact"/>
        <w:rPr>
          <w:sz w:val="24"/>
        </w:rPr>
      </w:pPr>
    </w:p>
    <w:p>
      <w:pPr>
        <w:spacing w:line="460" w:lineRule="exact"/>
        <w:ind w:firstLine="480" w:firstLineChars="200"/>
        <w:jc w:val="left"/>
        <w:rPr>
          <w:sz w:val="24"/>
        </w:rPr>
      </w:pPr>
      <w:r>
        <w:rPr>
          <w:sz w:val="24"/>
        </w:rPr>
        <w:t>我公司</w:t>
      </w:r>
      <w:r>
        <w:rPr>
          <w:sz w:val="24"/>
          <w:u w:val="single"/>
        </w:rPr>
        <w:t xml:space="preserve">   （比选申请人名称）   ）</w:t>
      </w:r>
      <w:r>
        <w:rPr>
          <w:sz w:val="24"/>
        </w:rPr>
        <w:t>、法定代表人</w:t>
      </w:r>
      <w:r>
        <w:rPr>
          <w:sz w:val="24"/>
          <w:u w:val="single"/>
        </w:rPr>
        <w:t xml:space="preserve">  （姓名）   </w:t>
      </w:r>
      <w:r>
        <w:rPr>
          <w:sz w:val="24"/>
        </w:rPr>
        <w:t>、（在</w:t>
      </w:r>
      <w:r>
        <w:rPr>
          <w:sz w:val="24"/>
          <w:u w:val="single"/>
        </w:rPr>
        <w:t>2022</w:t>
      </w:r>
      <w:r>
        <w:rPr>
          <w:sz w:val="24"/>
        </w:rPr>
        <w:t>年</w:t>
      </w:r>
      <w:r>
        <w:rPr>
          <w:sz w:val="24"/>
          <w:u w:val="single"/>
        </w:rPr>
        <w:t>1</w:t>
      </w:r>
      <w:r>
        <w:rPr>
          <w:sz w:val="24"/>
        </w:rPr>
        <w:t>月</w:t>
      </w:r>
      <w:r>
        <w:rPr>
          <w:sz w:val="24"/>
          <w:u w:val="single"/>
        </w:rPr>
        <w:t>1</w:t>
      </w:r>
      <w:r>
        <w:rPr>
          <w:sz w:val="24"/>
        </w:rPr>
        <w:t>日至本项目比选</w:t>
      </w:r>
      <w:r>
        <w:rPr>
          <w:rFonts w:hint="eastAsia"/>
          <w:sz w:val="24"/>
          <w:lang w:val="en-US" w:eastAsia="zh-CN"/>
        </w:rPr>
        <w:t>申请</w:t>
      </w:r>
      <w:r>
        <w:rPr>
          <w:sz w:val="24"/>
        </w:rPr>
        <w:t>截止日期间），没有被人民法院生效判决或裁定认定行贿犯罪（包括行贿罪、单位行贿罪、对单位行贿罪、介绍贿赂罪等）。若在中选合同签订之前发现我单位或承诺人员在上述期间存在行贿犯罪的，可取消我单位中选候选人或中选人资格。若在合同执行期间发现我单位或承诺人员在上述期间存在行贿犯罪的，可从合同款中扣除签约合同价的</w:t>
      </w:r>
      <w:r>
        <w:rPr>
          <w:sz w:val="24"/>
          <w:u w:val="single"/>
        </w:rPr>
        <w:t>5%</w:t>
      </w:r>
      <w:r>
        <w:rPr>
          <w:sz w:val="24"/>
        </w:rPr>
        <w:t>作为违约金。</w:t>
      </w:r>
    </w:p>
    <w:p>
      <w:pPr>
        <w:spacing w:line="460" w:lineRule="exact"/>
        <w:ind w:firstLine="480" w:firstLineChars="200"/>
        <w:rPr>
          <w:sz w:val="24"/>
        </w:rPr>
      </w:pPr>
    </w:p>
    <w:p>
      <w:pPr>
        <w:spacing w:line="460" w:lineRule="exact"/>
        <w:ind w:firstLine="480" w:firstLineChars="200"/>
        <w:rPr>
          <w:sz w:val="24"/>
        </w:rPr>
      </w:pPr>
      <w:r>
        <w:rPr>
          <w:sz w:val="24"/>
        </w:rPr>
        <w:t>特此承诺。</w:t>
      </w:r>
    </w:p>
    <w:p>
      <w:pPr>
        <w:spacing w:line="460" w:lineRule="exact"/>
        <w:ind w:firstLine="480" w:firstLineChars="200"/>
        <w:rPr>
          <w:sz w:val="24"/>
        </w:rPr>
      </w:pPr>
    </w:p>
    <w:p>
      <w:pPr>
        <w:spacing w:line="460" w:lineRule="exact"/>
        <w:ind w:firstLine="4080" w:firstLineChars="1700"/>
        <w:rPr>
          <w:sz w:val="24"/>
        </w:rPr>
      </w:pPr>
      <w:r>
        <w:rPr>
          <w:sz w:val="24"/>
        </w:rPr>
        <w:t>比选申请人：（盖单位章）</w:t>
      </w:r>
    </w:p>
    <w:p>
      <w:pPr>
        <w:spacing w:line="460" w:lineRule="exact"/>
        <w:ind w:firstLine="5040" w:firstLineChars="2100"/>
        <w:rPr>
          <w:sz w:val="24"/>
        </w:rPr>
      </w:pPr>
    </w:p>
    <w:p>
      <w:pPr>
        <w:spacing w:line="460" w:lineRule="exact"/>
        <w:ind w:firstLine="480" w:firstLineChars="200"/>
        <w:jc w:val="left"/>
        <w:rPr>
          <w:sz w:val="24"/>
          <w:u w:val="single"/>
        </w:rPr>
      </w:pPr>
      <w:r>
        <w:rPr>
          <w:sz w:val="24"/>
        </w:rPr>
        <w:t xml:space="preserve">                          法人代表人或授权代理人：（签字）</w:t>
      </w:r>
    </w:p>
    <w:p>
      <w:pPr>
        <w:spacing w:line="360" w:lineRule="auto"/>
        <w:rPr>
          <w:bCs/>
          <w:szCs w:val="21"/>
        </w:rPr>
      </w:pPr>
    </w:p>
    <w:p>
      <w:pPr>
        <w:spacing w:line="360" w:lineRule="auto"/>
        <w:ind w:firstLine="3570" w:firstLineChars="1700"/>
        <w:rPr>
          <w:bCs/>
          <w:szCs w:val="21"/>
        </w:rPr>
      </w:pPr>
      <w:r>
        <w:rPr>
          <w:bCs/>
          <w:szCs w:val="21"/>
        </w:rPr>
        <w:t xml:space="preserve">        年   月   日</w:t>
      </w:r>
    </w:p>
    <w:p>
      <w:pPr>
        <w:pStyle w:val="2"/>
        <w:ind w:firstLine="560"/>
        <w:rPr>
          <w:rFonts w:ascii="Times New Roman" w:hAnsi="Times New Roman"/>
        </w:rPr>
      </w:pPr>
    </w:p>
    <w:p>
      <w:pPr>
        <w:pStyle w:val="35"/>
        <w:spacing w:line="400" w:lineRule="exact"/>
        <w:ind w:firstLine="0" w:firstLineChars="0"/>
        <w:rPr>
          <w:rFonts w:ascii="Times New Roman" w:hAnsi="Times New Roman" w:eastAsia="宋体"/>
          <w:sz w:val="28"/>
          <w:szCs w:val="28"/>
        </w:rPr>
      </w:pPr>
    </w:p>
    <w:p>
      <w:pPr>
        <w:pStyle w:val="35"/>
        <w:spacing w:line="400" w:lineRule="exact"/>
        <w:ind w:firstLine="0" w:firstLineChars="0"/>
        <w:rPr>
          <w:rFonts w:ascii="Times New Roman" w:hAnsi="Times New Roman" w:eastAsia="宋体"/>
          <w:sz w:val="28"/>
          <w:szCs w:val="28"/>
        </w:rPr>
      </w:pPr>
    </w:p>
    <w:p>
      <w:pPr>
        <w:pStyle w:val="8"/>
        <w:spacing w:line="360" w:lineRule="auto"/>
        <w:ind w:firstLine="1043"/>
        <w:jc w:val="center"/>
        <w:rPr>
          <w:rFonts w:eastAsia="黑体"/>
          <w:b/>
          <w:bCs/>
          <w:color w:val="000000"/>
          <w:spacing w:val="40"/>
          <w:sz w:val="44"/>
        </w:rPr>
      </w:pPr>
    </w:p>
    <w:p>
      <w:pPr>
        <w:pStyle w:val="8"/>
        <w:spacing w:line="360" w:lineRule="auto"/>
        <w:ind w:firstLine="1043"/>
        <w:jc w:val="center"/>
        <w:rPr>
          <w:rFonts w:eastAsia="黑体"/>
          <w:b/>
          <w:bCs/>
          <w:color w:val="000000"/>
          <w:spacing w:val="40"/>
          <w:sz w:val="44"/>
        </w:rPr>
      </w:pPr>
    </w:p>
    <w:p>
      <w:pPr>
        <w:pStyle w:val="8"/>
        <w:spacing w:line="360" w:lineRule="auto"/>
        <w:ind w:firstLine="1043"/>
        <w:jc w:val="center"/>
        <w:rPr>
          <w:rFonts w:eastAsia="黑体"/>
          <w:b/>
          <w:bCs/>
          <w:color w:val="000000"/>
          <w:spacing w:val="40"/>
          <w:sz w:val="44"/>
        </w:rPr>
      </w:pPr>
    </w:p>
    <w:p>
      <w:pPr>
        <w:pStyle w:val="8"/>
        <w:spacing w:line="360" w:lineRule="auto"/>
        <w:ind w:firstLine="1043"/>
        <w:jc w:val="center"/>
        <w:rPr>
          <w:rFonts w:eastAsia="黑体"/>
          <w:b/>
          <w:bCs/>
          <w:color w:val="000000"/>
          <w:spacing w:val="40"/>
          <w:sz w:val="44"/>
        </w:rPr>
      </w:pPr>
    </w:p>
    <w:p>
      <w:pPr>
        <w:pStyle w:val="6"/>
        <w:spacing w:line="360" w:lineRule="auto"/>
        <w:jc w:val="center"/>
        <w:rPr>
          <w:rFonts w:ascii="Times New Roman" w:hAnsi="Times New Roman"/>
          <w:color w:val="000000"/>
        </w:rPr>
      </w:pPr>
      <w:bookmarkStart w:id="69" w:name="_Toc8150"/>
      <w:r>
        <w:rPr>
          <w:rFonts w:ascii="Times New Roman" w:hAnsi="Times New Roman"/>
          <w:color w:val="000000"/>
        </w:rPr>
        <w:t>（七）其他资料</w:t>
      </w:r>
      <w:bookmarkEnd w:id="69"/>
    </w:p>
    <w:p>
      <w:pPr>
        <w:spacing w:line="360" w:lineRule="auto"/>
        <w:ind w:firstLine="482" w:firstLineChars="200"/>
        <w:rPr>
          <w:b/>
          <w:bCs/>
          <w:color w:val="000000"/>
          <w:sz w:val="24"/>
        </w:rPr>
      </w:pPr>
    </w:p>
    <w:p>
      <w:pPr>
        <w:spacing w:line="360" w:lineRule="auto"/>
        <w:ind w:firstLine="482" w:firstLineChars="200"/>
        <w:rPr>
          <w:b/>
          <w:bCs/>
          <w:color w:val="000000"/>
          <w:sz w:val="24"/>
        </w:rPr>
      </w:pPr>
    </w:p>
    <w:p>
      <w:pPr>
        <w:spacing w:line="360" w:lineRule="auto"/>
        <w:ind w:firstLine="482" w:firstLineChars="200"/>
        <w:rPr>
          <w:b/>
          <w:bCs/>
          <w:color w:val="000000"/>
          <w:sz w:val="24"/>
        </w:rPr>
      </w:pPr>
    </w:p>
    <w:p>
      <w:pPr>
        <w:spacing w:line="360" w:lineRule="auto"/>
        <w:ind w:firstLine="482" w:firstLineChars="200"/>
        <w:rPr>
          <w:b/>
          <w:bCs/>
          <w:color w:val="000000"/>
          <w:sz w:val="24"/>
        </w:rPr>
      </w:pPr>
      <w:r>
        <w:rPr>
          <w:b/>
          <w:bCs/>
          <w:color w:val="000000"/>
          <w:sz w:val="24"/>
        </w:rPr>
        <w:t>比选申请人认为需要的其他证明资料（如有）。</w:t>
      </w:r>
    </w:p>
    <w:p>
      <w:pPr>
        <w:spacing w:line="360" w:lineRule="auto"/>
        <w:ind w:firstLine="482" w:firstLineChars="200"/>
        <w:rPr>
          <w:b/>
          <w:color w:val="000000"/>
          <w:sz w:val="24"/>
        </w:rPr>
      </w:pPr>
    </w:p>
    <w:p>
      <w:pPr>
        <w:pStyle w:val="2"/>
        <w:ind w:firstLine="482"/>
        <w:rPr>
          <w:rFonts w:ascii="Times New Roman" w:hAnsi="Times New Roman"/>
          <w:b/>
          <w:sz w:val="24"/>
        </w:rPr>
      </w:pP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0000600000000000000"/>
    <w:charset w:val="86"/>
    <w:family w:val="auto"/>
    <w:pitch w:val="default"/>
    <w:sig w:usb0="800002BF" w:usb1="184F6CF8" w:usb2="00000012" w:usb3="00000000" w:csb0="00160001" w:csb1="1203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q6f7OIBAADMAwAADgAA&#10;AAAAAAABACAAAAAeAQAAZHJzL2Uyb0RvYy54bWxQSwUGAAAAAAYABgBZAQAAc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ascii="黑体" w:hAnsi="黑体" w:eastAsia="黑体" w:cs="黑体"/>
      </w:rPr>
      <w:t>四川成渝高速公路股份有限公司公路运营管理一分公司防雷检测服务项目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黑体" w:hAnsi="黑体" w:eastAsia="黑体" w:cs="黑体"/>
      </w:rPr>
    </w:pPr>
    <w:r>
      <w:rPr>
        <w:rFonts w:hint="eastAsia" w:ascii="黑体" w:hAnsi="黑体" w:eastAsia="黑体" w:cs="黑体"/>
      </w:rPr>
      <w:t>四川成渝高速公路股份有限公司公路运营管理一分公司防雷检测服务项目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64A6F"/>
    <w:multiLevelType w:val="singleLevel"/>
    <w:tmpl w:val="B2264A6F"/>
    <w:lvl w:ilvl="0" w:tentative="0">
      <w:start w:val="1"/>
      <w:numFmt w:val="chineseCounting"/>
      <w:suff w:val="space"/>
      <w:lvlText w:val="第%1章"/>
      <w:lvlJc w:val="left"/>
      <w:rPr>
        <w:rFonts w:hint="eastAsia"/>
      </w:rPr>
    </w:lvl>
  </w:abstractNum>
  <w:abstractNum w:abstractNumId="1">
    <w:nsid w:val="C68173E2"/>
    <w:multiLevelType w:val="singleLevel"/>
    <w:tmpl w:val="C68173E2"/>
    <w:lvl w:ilvl="0" w:tentative="0">
      <w:start w:val="3"/>
      <w:numFmt w:val="decimal"/>
      <w:suff w:val="nothing"/>
      <w:lvlText w:val="（%1）"/>
      <w:lvlJc w:val="left"/>
    </w:lvl>
  </w:abstractNum>
  <w:abstractNum w:abstractNumId="2">
    <w:nsid w:val="174EC34D"/>
    <w:multiLevelType w:val="singleLevel"/>
    <w:tmpl w:val="174EC34D"/>
    <w:lvl w:ilvl="0" w:tentative="0">
      <w:start w:val="4"/>
      <w:numFmt w:val="chineseCounting"/>
      <w:suff w:val="nothing"/>
      <w:lvlText w:val="（%1）"/>
      <w:lvlJc w:val="left"/>
      <w:rPr>
        <w:rFonts w:hint="eastAsia"/>
      </w:rPr>
    </w:lvl>
  </w:abstractNum>
  <w:abstractNum w:abstractNumId="3">
    <w:nsid w:val="59326322"/>
    <w:multiLevelType w:val="singleLevel"/>
    <w:tmpl w:val="59326322"/>
    <w:lvl w:ilvl="0" w:tentative="0">
      <w:start w:val="1"/>
      <w:numFmt w:val="decimal"/>
      <w:suff w:val="nothing"/>
      <w:lvlText w:val="（%1）"/>
      <w:lvlJc w:val="left"/>
      <w:rPr>
        <w:rFonts w:ascii="宋体" w:hAnsi="宋体" w:eastAsia="宋体"/>
        <w:lang w:val="en-US"/>
      </w:rPr>
    </w:lvl>
  </w:abstractNum>
  <w:abstractNum w:abstractNumId="4">
    <w:nsid w:val="5E0B266F"/>
    <w:multiLevelType w:val="multilevel"/>
    <w:tmpl w:val="5E0B266F"/>
    <w:lvl w:ilvl="0" w:tentative="0">
      <w:start w:val="1"/>
      <w:numFmt w:val="japaneseCounting"/>
      <w:lvlText w:val="第%1条"/>
      <w:lvlJc w:val="left"/>
      <w:pPr>
        <w:tabs>
          <w:tab w:val="left" w:pos="1275"/>
        </w:tabs>
        <w:ind w:left="1275" w:hanging="84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67237E9B"/>
    <w:multiLevelType w:val="singleLevel"/>
    <w:tmpl w:val="67237E9B"/>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F3"/>
    <w:rsid w:val="00053D32"/>
    <w:rsid w:val="000A7CD7"/>
    <w:rsid w:val="000C3ACC"/>
    <w:rsid w:val="00181935"/>
    <w:rsid w:val="001B42A8"/>
    <w:rsid w:val="001C4675"/>
    <w:rsid w:val="001D5B1D"/>
    <w:rsid w:val="00241A19"/>
    <w:rsid w:val="002842AB"/>
    <w:rsid w:val="002A1986"/>
    <w:rsid w:val="002A228B"/>
    <w:rsid w:val="002D1C96"/>
    <w:rsid w:val="003351BF"/>
    <w:rsid w:val="003425B9"/>
    <w:rsid w:val="003A4D52"/>
    <w:rsid w:val="003C31D0"/>
    <w:rsid w:val="004140B5"/>
    <w:rsid w:val="004440CF"/>
    <w:rsid w:val="005125EA"/>
    <w:rsid w:val="00521830"/>
    <w:rsid w:val="00535A42"/>
    <w:rsid w:val="005A563F"/>
    <w:rsid w:val="005B714A"/>
    <w:rsid w:val="005D53FB"/>
    <w:rsid w:val="005D74A7"/>
    <w:rsid w:val="005F78BA"/>
    <w:rsid w:val="006134B1"/>
    <w:rsid w:val="0061793D"/>
    <w:rsid w:val="00635193"/>
    <w:rsid w:val="00637D41"/>
    <w:rsid w:val="00641B72"/>
    <w:rsid w:val="00650E73"/>
    <w:rsid w:val="00681EC7"/>
    <w:rsid w:val="00684267"/>
    <w:rsid w:val="0069297B"/>
    <w:rsid w:val="006B0F09"/>
    <w:rsid w:val="006B590F"/>
    <w:rsid w:val="00705F08"/>
    <w:rsid w:val="00711E58"/>
    <w:rsid w:val="00773AD9"/>
    <w:rsid w:val="0077638B"/>
    <w:rsid w:val="007875C3"/>
    <w:rsid w:val="007B03E9"/>
    <w:rsid w:val="007B1443"/>
    <w:rsid w:val="00817685"/>
    <w:rsid w:val="00827FB0"/>
    <w:rsid w:val="0084071F"/>
    <w:rsid w:val="00883FFC"/>
    <w:rsid w:val="008E54FD"/>
    <w:rsid w:val="008F5753"/>
    <w:rsid w:val="00951EEC"/>
    <w:rsid w:val="0095708E"/>
    <w:rsid w:val="009703BC"/>
    <w:rsid w:val="009711B4"/>
    <w:rsid w:val="009A1E21"/>
    <w:rsid w:val="009B3C12"/>
    <w:rsid w:val="009C4110"/>
    <w:rsid w:val="009D32D0"/>
    <w:rsid w:val="009E4A60"/>
    <w:rsid w:val="00A15B60"/>
    <w:rsid w:val="00A307B5"/>
    <w:rsid w:val="00A472F9"/>
    <w:rsid w:val="00A47A8C"/>
    <w:rsid w:val="00A72913"/>
    <w:rsid w:val="00A74275"/>
    <w:rsid w:val="00A80F18"/>
    <w:rsid w:val="00A9249B"/>
    <w:rsid w:val="00AA3056"/>
    <w:rsid w:val="00AF102A"/>
    <w:rsid w:val="00B3088A"/>
    <w:rsid w:val="00B75A52"/>
    <w:rsid w:val="00B7631E"/>
    <w:rsid w:val="00B96BD3"/>
    <w:rsid w:val="00C11C48"/>
    <w:rsid w:val="00C1207F"/>
    <w:rsid w:val="00C46E95"/>
    <w:rsid w:val="00C538DC"/>
    <w:rsid w:val="00C67094"/>
    <w:rsid w:val="00CA4F9A"/>
    <w:rsid w:val="00D27C06"/>
    <w:rsid w:val="00D47569"/>
    <w:rsid w:val="00DA61BE"/>
    <w:rsid w:val="00DD06E3"/>
    <w:rsid w:val="00DF13B7"/>
    <w:rsid w:val="00E37C59"/>
    <w:rsid w:val="00E5064E"/>
    <w:rsid w:val="00E7243B"/>
    <w:rsid w:val="00E766F3"/>
    <w:rsid w:val="00E9316D"/>
    <w:rsid w:val="00EC5D3B"/>
    <w:rsid w:val="00F2293E"/>
    <w:rsid w:val="00F32019"/>
    <w:rsid w:val="00FA1A75"/>
    <w:rsid w:val="00FD45E7"/>
    <w:rsid w:val="00FF7137"/>
    <w:rsid w:val="01C963F3"/>
    <w:rsid w:val="02C96C9C"/>
    <w:rsid w:val="05E12C70"/>
    <w:rsid w:val="061247F0"/>
    <w:rsid w:val="07B719B9"/>
    <w:rsid w:val="08EA2FAE"/>
    <w:rsid w:val="096E22BC"/>
    <w:rsid w:val="09E50EC6"/>
    <w:rsid w:val="0B3331C9"/>
    <w:rsid w:val="0B633519"/>
    <w:rsid w:val="0B7356E7"/>
    <w:rsid w:val="0BBA7248"/>
    <w:rsid w:val="0CDB2595"/>
    <w:rsid w:val="0CEF1926"/>
    <w:rsid w:val="0D4C1D02"/>
    <w:rsid w:val="0DAF3942"/>
    <w:rsid w:val="0DB96354"/>
    <w:rsid w:val="0DE866D4"/>
    <w:rsid w:val="0FA62577"/>
    <w:rsid w:val="0FC66D13"/>
    <w:rsid w:val="10065010"/>
    <w:rsid w:val="106A61FD"/>
    <w:rsid w:val="10BC6895"/>
    <w:rsid w:val="11952DB5"/>
    <w:rsid w:val="14787863"/>
    <w:rsid w:val="16186566"/>
    <w:rsid w:val="16AF362D"/>
    <w:rsid w:val="17191AAC"/>
    <w:rsid w:val="179B0AE6"/>
    <w:rsid w:val="18360E9D"/>
    <w:rsid w:val="186F63B5"/>
    <w:rsid w:val="1A3E5F99"/>
    <w:rsid w:val="1ABA3768"/>
    <w:rsid w:val="1B14197E"/>
    <w:rsid w:val="1BA618BE"/>
    <w:rsid w:val="1D9C0D19"/>
    <w:rsid w:val="1E125DAA"/>
    <w:rsid w:val="1F92175F"/>
    <w:rsid w:val="20C55CD6"/>
    <w:rsid w:val="21A110B9"/>
    <w:rsid w:val="226A7548"/>
    <w:rsid w:val="230F3110"/>
    <w:rsid w:val="2381350D"/>
    <w:rsid w:val="2493465B"/>
    <w:rsid w:val="25370011"/>
    <w:rsid w:val="25587831"/>
    <w:rsid w:val="25EA3168"/>
    <w:rsid w:val="27A901D1"/>
    <w:rsid w:val="27CB7955"/>
    <w:rsid w:val="283473BC"/>
    <w:rsid w:val="29B12B77"/>
    <w:rsid w:val="29BA1F05"/>
    <w:rsid w:val="29C7174C"/>
    <w:rsid w:val="2A660CAA"/>
    <w:rsid w:val="2A8940C2"/>
    <w:rsid w:val="2ACF41CB"/>
    <w:rsid w:val="2AF93390"/>
    <w:rsid w:val="2B844FB6"/>
    <w:rsid w:val="2BAB0AA8"/>
    <w:rsid w:val="2BD02F9B"/>
    <w:rsid w:val="2D564730"/>
    <w:rsid w:val="2DB133A0"/>
    <w:rsid w:val="2DE531BA"/>
    <w:rsid w:val="2DF90750"/>
    <w:rsid w:val="2E8831FC"/>
    <w:rsid w:val="2F0902B7"/>
    <w:rsid w:val="2F8F63FC"/>
    <w:rsid w:val="30C306B8"/>
    <w:rsid w:val="30D4215A"/>
    <w:rsid w:val="31667BB8"/>
    <w:rsid w:val="331C3D26"/>
    <w:rsid w:val="338423DD"/>
    <w:rsid w:val="33A472B4"/>
    <w:rsid w:val="33FC1ABE"/>
    <w:rsid w:val="34B86F17"/>
    <w:rsid w:val="3557706E"/>
    <w:rsid w:val="36037561"/>
    <w:rsid w:val="367C31EB"/>
    <w:rsid w:val="37051D50"/>
    <w:rsid w:val="388808A0"/>
    <w:rsid w:val="397907B4"/>
    <w:rsid w:val="39F56F8F"/>
    <w:rsid w:val="3A4E15C8"/>
    <w:rsid w:val="3ABA1467"/>
    <w:rsid w:val="3ACD4A73"/>
    <w:rsid w:val="3BC032DE"/>
    <w:rsid w:val="3BC136BC"/>
    <w:rsid w:val="3C0435A9"/>
    <w:rsid w:val="3C6D1206"/>
    <w:rsid w:val="3E495752"/>
    <w:rsid w:val="3E8F5CD1"/>
    <w:rsid w:val="3EF46899"/>
    <w:rsid w:val="3FBD063E"/>
    <w:rsid w:val="40DB5F25"/>
    <w:rsid w:val="413E57AF"/>
    <w:rsid w:val="418E5541"/>
    <w:rsid w:val="419B675D"/>
    <w:rsid w:val="41B80140"/>
    <w:rsid w:val="43B768EF"/>
    <w:rsid w:val="44E610C8"/>
    <w:rsid w:val="454B0EBC"/>
    <w:rsid w:val="463211F6"/>
    <w:rsid w:val="46D152C2"/>
    <w:rsid w:val="47E25BAC"/>
    <w:rsid w:val="4A7D05ED"/>
    <w:rsid w:val="4BB94AD8"/>
    <w:rsid w:val="4C7C2508"/>
    <w:rsid w:val="4CD900F5"/>
    <w:rsid w:val="4D2E0805"/>
    <w:rsid w:val="4F110006"/>
    <w:rsid w:val="4FA46837"/>
    <w:rsid w:val="4FFC5AE9"/>
    <w:rsid w:val="50A448FE"/>
    <w:rsid w:val="51885D8E"/>
    <w:rsid w:val="518F33C5"/>
    <w:rsid w:val="51C75E8B"/>
    <w:rsid w:val="530F0E46"/>
    <w:rsid w:val="53122969"/>
    <w:rsid w:val="531620E8"/>
    <w:rsid w:val="545C7FCE"/>
    <w:rsid w:val="555C47A9"/>
    <w:rsid w:val="55F17A6A"/>
    <w:rsid w:val="569D4D29"/>
    <w:rsid w:val="56DF0573"/>
    <w:rsid w:val="572F2877"/>
    <w:rsid w:val="58175922"/>
    <w:rsid w:val="589E32A0"/>
    <w:rsid w:val="5A3B0686"/>
    <w:rsid w:val="5B235548"/>
    <w:rsid w:val="5D542FDA"/>
    <w:rsid w:val="5E0C65C1"/>
    <w:rsid w:val="5E4E70C6"/>
    <w:rsid w:val="5E7B5C3D"/>
    <w:rsid w:val="6026159C"/>
    <w:rsid w:val="60A820BF"/>
    <w:rsid w:val="615C0943"/>
    <w:rsid w:val="65E338C5"/>
    <w:rsid w:val="65EA56AA"/>
    <w:rsid w:val="66437557"/>
    <w:rsid w:val="67CE5EBB"/>
    <w:rsid w:val="67DE0D2F"/>
    <w:rsid w:val="68293AF3"/>
    <w:rsid w:val="69921F02"/>
    <w:rsid w:val="69B15531"/>
    <w:rsid w:val="6A6E7CAB"/>
    <w:rsid w:val="6AC2084E"/>
    <w:rsid w:val="6ADE0694"/>
    <w:rsid w:val="6B3137FD"/>
    <w:rsid w:val="6C450FC9"/>
    <w:rsid w:val="6D0668D1"/>
    <w:rsid w:val="6D2B2B37"/>
    <w:rsid w:val="6DA85BDA"/>
    <w:rsid w:val="6E450BEF"/>
    <w:rsid w:val="6F082C9C"/>
    <w:rsid w:val="6F7044D6"/>
    <w:rsid w:val="7014565A"/>
    <w:rsid w:val="705F156B"/>
    <w:rsid w:val="72AB332E"/>
    <w:rsid w:val="72B97990"/>
    <w:rsid w:val="72E72970"/>
    <w:rsid w:val="733A6696"/>
    <w:rsid w:val="74AE32E5"/>
    <w:rsid w:val="74CC2CDB"/>
    <w:rsid w:val="750072B5"/>
    <w:rsid w:val="751E2DB2"/>
    <w:rsid w:val="755316AF"/>
    <w:rsid w:val="757F5473"/>
    <w:rsid w:val="75A5137D"/>
    <w:rsid w:val="75B6582A"/>
    <w:rsid w:val="75EB0A79"/>
    <w:rsid w:val="76EE188F"/>
    <w:rsid w:val="77BC2F2D"/>
    <w:rsid w:val="78F07D2B"/>
    <w:rsid w:val="78FC5FD5"/>
    <w:rsid w:val="79CE6028"/>
    <w:rsid w:val="7A071041"/>
    <w:rsid w:val="7A6750E9"/>
    <w:rsid w:val="7B736695"/>
    <w:rsid w:val="7C160EA3"/>
    <w:rsid w:val="7E48349C"/>
    <w:rsid w:val="7E773764"/>
    <w:rsid w:val="7E8B1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firstLineChars="200"/>
    </w:pPr>
    <w:rPr>
      <w:rFonts w:ascii="宋体" w:hAnsi="Calibri"/>
      <w:szCs w:val="22"/>
    </w:r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8">
    <w:name w:val="Normal Indent"/>
    <w:basedOn w:val="1"/>
    <w:qFormat/>
    <w:uiPriority w:val="0"/>
    <w:pPr>
      <w:widowControl/>
      <w:ind w:firstLine="420"/>
      <w:jc w:val="left"/>
    </w:pPr>
    <w:rPr>
      <w:kern w:val="0"/>
      <w:sz w:val="20"/>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qFormat/>
    <w:uiPriority w:val="0"/>
    <w:pPr>
      <w:spacing w:after="120"/>
    </w:pPr>
  </w:style>
  <w:style w:type="paragraph" w:customStyle="1" w:styleId="12">
    <w:name w:val="引用1"/>
    <w:basedOn w:val="1"/>
    <w:next w:val="1"/>
    <w:qFormat/>
    <w:uiPriority w:val="0"/>
    <w:pPr>
      <w:spacing w:line="400" w:lineRule="exact"/>
      <w:ind w:firstLine="420" w:firstLineChars="200"/>
    </w:pPr>
    <w:rPr>
      <w:i/>
    </w:rPr>
  </w:style>
  <w:style w:type="paragraph" w:styleId="13">
    <w:name w:val="toc 3"/>
    <w:basedOn w:val="1"/>
    <w:next w:val="1"/>
    <w:semiHidden/>
    <w:qFormat/>
    <w:uiPriority w:val="0"/>
    <w:pPr>
      <w:tabs>
        <w:tab w:val="left" w:pos="1050"/>
        <w:tab w:val="left" w:pos="1260"/>
        <w:tab w:val="left" w:pos="1470"/>
        <w:tab w:val="right" w:leader="dot" w:pos="8726"/>
      </w:tabs>
      <w:ind w:left="630" w:leftChars="300"/>
    </w:pPr>
    <w:rPr>
      <w:rFonts w:ascii="宋体" w:hAnsi="宋体"/>
      <w:szCs w:val="32"/>
    </w:rPr>
  </w:style>
  <w:style w:type="paragraph" w:styleId="14">
    <w:name w:val="Plain Text"/>
    <w:basedOn w:val="1"/>
    <w:qFormat/>
    <w:uiPriority w:val="0"/>
    <w:rPr>
      <w:rFonts w:ascii="宋体" w:hAnsi="Courier New"/>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19">
    <w:name w:val="toc 6"/>
    <w:basedOn w:val="1"/>
    <w:next w:val="1"/>
    <w:semiHidden/>
    <w:qFormat/>
    <w:uiPriority w:val="99"/>
    <w:pPr>
      <w:ind w:left="1050"/>
      <w:jc w:val="left"/>
    </w:pPr>
    <w:rPr>
      <w:sz w:val="18"/>
      <w:szCs w:val="18"/>
    </w:rPr>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semiHidden/>
    <w:qFormat/>
    <w:uiPriority w:val="0"/>
    <w:pPr>
      <w:tabs>
        <w:tab w:val="left" w:pos="1050"/>
        <w:tab w:val="right" w:leader="dot" w:pos="8726"/>
      </w:tabs>
      <w:ind w:firstLine="210" w:firstLineChars="100"/>
    </w:pPr>
    <w:rPr>
      <w:rFonts w:ascii="宋体" w:hAnsi="宋体"/>
      <w:color w:val="000000"/>
      <w:szCs w:val="36"/>
    </w:rPr>
  </w:style>
  <w:style w:type="paragraph" w:styleId="22">
    <w:name w:val="index 1"/>
    <w:basedOn w:val="1"/>
    <w:next w:val="1"/>
    <w:semiHidden/>
    <w:qFormat/>
    <w:uiPriority w:val="99"/>
    <w:pPr>
      <w:spacing w:line="360" w:lineRule="auto"/>
      <w:jc w:val="center"/>
    </w:pPr>
  </w:style>
  <w:style w:type="paragraph" w:styleId="23">
    <w:name w:val="Title"/>
    <w:basedOn w:val="1"/>
    <w:qFormat/>
    <w:uiPriority w:val="0"/>
    <w:pPr>
      <w:tabs>
        <w:tab w:val="left" w:pos="360"/>
      </w:tabs>
      <w:ind w:left="360" w:hanging="360" w:hangingChars="200"/>
      <w:jc w:val="center"/>
    </w:pPr>
    <w:rPr>
      <w:rFonts w:ascii="宋体" w:hAnsi="宋体"/>
      <w:b/>
      <w:bCs/>
      <w:kern w:val="44"/>
      <w:sz w:val="52"/>
      <w:szCs w:val="4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页眉 Char"/>
    <w:basedOn w:val="26"/>
    <w:link w:val="17"/>
    <w:qFormat/>
    <w:uiPriority w:val="0"/>
    <w:rPr>
      <w:rFonts w:eastAsia="宋体"/>
      <w:kern w:val="2"/>
      <w:sz w:val="18"/>
      <w:szCs w:val="18"/>
      <w:lang w:val="en-US" w:eastAsia="zh-CN" w:bidi="ar-SA"/>
    </w:rPr>
  </w:style>
  <w:style w:type="paragraph" w:customStyle="1" w:styleId="31">
    <w:name w:val="Char"/>
    <w:basedOn w:val="1"/>
    <w:qFormat/>
    <w:uiPriority w:val="0"/>
    <w:rPr>
      <w:rFonts w:ascii="Tahoma" w:hAnsi="Tahoma"/>
      <w:sz w:val="24"/>
      <w:szCs w:val="20"/>
    </w:rPr>
  </w:style>
  <w:style w:type="paragraph" w:customStyle="1" w:styleId="32">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33">
    <w:name w:val="表格文字"/>
    <w:basedOn w:val="3"/>
    <w:qFormat/>
    <w:uiPriority w:val="0"/>
    <w:pPr>
      <w:adjustRightInd w:val="0"/>
      <w:spacing w:line="420" w:lineRule="atLeast"/>
      <w:jc w:val="left"/>
      <w:textAlignment w:val="baseline"/>
    </w:pPr>
    <w:rPr>
      <w:kern w:val="0"/>
    </w:rPr>
  </w:style>
  <w:style w:type="paragraph" w:customStyle="1" w:styleId="34">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5">
    <w:name w:val="样式 正文（首行缩进两字） + 宋体 小四"/>
    <w:basedOn w:val="8"/>
    <w:qFormat/>
    <w:uiPriority w:val="0"/>
    <w:pPr>
      <w:widowControl w:val="0"/>
      <w:spacing w:line="100" w:lineRule="atLeast"/>
      <w:ind w:firstLine="614" w:firstLineChars="192"/>
    </w:pPr>
    <w:rPr>
      <w:rFonts w:ascii="仿宋_GB2312" w:hAnsi="宋体" w:eastAsia="仿宋_GB2312"/>
      <w:kern w:val="2"/>
      <w:sz w:val="32"/>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样式1"/>
    <w:basedOn w:val="1"/>
    <w:qFormat/>
    <w:uiPriority w:val="0"/>
    <w:pPr>
      <w:widowControl/>
      <w:spacing w:line="360" w:lineRule="auto"/>
      <w:jc w:val="left"/>
    </w:pPr>
    <w:rPr>
      <w:rFonts w:ascii="仿宋_GB2312" w:hAnsi="宋体" w:eastAsia="仿宋_GB2312"/>
      <w:b/>
      <w:bCs/>
      <w:kern w:val="0"/>
      <w:szCs w:val="21"/>
    </w:rPr>
  </w:style>
  <w:style w:type="paragraph" w:customStyle="1" w:styleId="38">
    <w:name w:val="Table Paragraph"/>
    <w:basedOn w:val="1"/>
    <w:qFormat/>
    <w:uiPriority w:val="99"/>
    <w:rPr>
      <w:rFonts w:ascii="宋体" w:hAnsi="宋体" w:cs="宋体"/>
    </w:rPr>
  </w:style>
  <w:style w:type="character" w:customStyle="1" w:styleId="39">
    <w:name w:val="tdrownotice1"/>
    <w:qFormat/>
    <w:uiPriority w:val="0"/>
    <w:rPr>
      <w:sz w:val="22"/>
      <w:szCs w:val="22"/>
    </w:rPr>
  </w:style>
  <w:style w:type="paragraph" w:customStyle="1" w:styleId="40">
    <w:name w:val="Char1"/>
    <w:basedOn w:val="1"/>
    <w:qFormat/>
    <w:uiPriority w:val="0"/>
    <w:pPr>
      <w:widowControl/>
      <w:spacing w:after="160" w:line="240" w:lineRule="exact"/>
      <w:jc w:val="left"/>
    </w:pPr>
    <w:rPr>
      <w:szCs w:val="20"/>
    </w:rPr>
  </w:style>
  <w:style w:type="paragraph" w:styleId="41">
    <w:name w:val="List Paragraph"/>
    <w:basedOn w:val="1"/>
    <w:unhideWhenUsed/>
    <w:qFormat/>
    <w:uiPriority w:val="99"/>
    <w:pPr>
      <w:ind w:firstLine="420" w:firstLineChars="200"/>
    </w:pPr>
  </w:style>
  <w:style w:type="paragraph" w:customStyle="1" w:styleId="42">
    <w:name w:val="Table Text"/>
    <w:basedOn w:val="1"/>
    <w:semiHidden/>
    <w:qFormat/>
    <w:uiPriority w:val="0"/>
    <w:rPr>
      <w:sz w:val="18"/>
      <w:szCs w:val="18"/>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FB9CE-7010-442E-8CA6-A510CE4E76A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3733</Words>
  <Characters>21281</Characters>
  <Lines>177</Lines>
  <Paragraphs>49</Paragraphs>
  <TotalTime>193</TotalTime>
  <ScaleCrop>false</ScaleCrop>
  <LinksUpToDate>false</LinksUpToDate>
  <CharactersWithSpaces>24965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2025-07-02T12:57:00Z</dcterms:created>
  <dc:creator>微软用户</dc:creator>
  <cp:lastModifiedBy>yiyi</cp:lastModifiedBy>
  <cp:lastPrinted>2025-07-03T04:28:00Z</cp:lastPrinted>
  <dcterms:modified xsi:type="dcterms:W3CDTF">2025-07-03T04:44:49Z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eyJoZGlkIjoiMDZlN2E2YTNiMzk4ZjU4YTI1YWM5Y2MwZTM1MjkxYzMiLCJ1c2VySWQiOiIxNDg0NzEwMTgwIn0=</vt:lpwstr>
  </property>
  <property fmtid="{D5CDD505-2E9C-101B-9397-08002B2CF9AE}" pid="3" name="KSOProductBuildVer">
    <vt:lpwstr>2052-11.8.2.12055</vt:lpwstr>
  </property>
  <property fmtid="{D5CDD505-2E9C-101B-9397-08002B2CF9AE}" pid="4" name="ICV">
    <vt:lpwstr>857BEEF9C0ED48A0BB1DC5F8B7839767</vt:lpwstr>
  </property>
</Properties>
</file>